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81047122"/>
    <w:bookmarkStart w:id="1" w:name="_Toc481048795"/>
    <w:bookmarkStart w:id="2" w:name="_Toc518917027"/>
    <w:p w:rsidR="00D7257A" w:rsidRDefault="00473020" w:rsidP="00D7257A">
      <w:pPr>
        <w:pStyle w:val="Titre1"/>
      </w:pPr>
      <w:sdt>
        <w:sdtPr>
          <w:rPr>
            <w:lang w:val="fr-FR"/>
          </w:rPr>
          <w:id w:val="57123518"/>
          <w:docPartObj>
            <w:docPartGallery w:val="Cover Pages"/>
            <w:docPartUnique/>
          </w:docPartObj>
        </w:sdtPr>
        <w:sdtEndPr>
          <w:rPr>
            <w:lang w:val="fr-BE"/>
          </w:rPr>
        </w:sdtEndPr>
        <w:sdtContent>
          <w:r w:rsidR="00D7257A">
            <w:rPr>
              <w:noProof/>
              <w:lang w:eastAsia="fr-BE"/>
            </w:rPr>
            <mc:AlternateContent>
              <mc:Choice Requires="wps">
                <w:drawing>
                  <wp:anchor distT="0" distB="0" distL="114300" distR="114300" simplePos="0" relativeHeight="251660288" behindDoc="0" locked="0" layoutInCell="1" allowOverlap="1" wp14:anchorId="1A5C6879" wp14:editId="66209856">
                    <wp:simplePos x="0" y="0"/>
                    <wp:positionH relativeFrom="column">
                      <wp:posOffset>-147955</wp:posOffset>
                    </wp:positionH>
                    <wp:positionV relativeFrom="paragraph">
                      <wp:posOffset>3693795</wp:posOffset>
                    </wp:positionV>
                    <wp:extent cx="6477635" cy="1857375"/>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635" cy="185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57A" w:rsidRPr="00D7257A" w:rsidRDefault="00D7257A" w:rsidP="00D7257A">
                                <w:pPr>
                                  <w:pStyle w:val="Sous-titredudocument"/>
                                  <w:rPr>
                                    <w:b w:val="0"/>
                                  </w:rPr>
                                </w:pPr>
                                <w:bookmarkStart w:id="3" w:name="_Toc481047123"/>
                                <w:bookmarkStart w:id="4" w:name="_Toc481048796"/>
                                <w:bookmarkStart w:id="5" w:name="_Toc518917028"/>
                                <w:r w:rsidRPr="00D7257A">
                                  <w:rPr>
                                    <w:rFonts w:eastAsia="Arial" w:cs="Arial"/>
                                    <w:b w:val="0"/>
                                    <w:szCs w:val="32"/>
                                    <w:bdr w:val="nil"/>
                                    <w:lang w:val="nl-BE"/>
                                  </w:rPr>
                                  <w:t xml:space="preserve">Gegevens betreffende </w:t>
                                </w:r>
                                <w:bookmarkEnd w:id="3"/>
                                <w:bookmarkEnd w:id="4"/>
                                <w:r w:rsidRPr="00D7257A">
                                  <w:rPr>
                                    <w:rFonts w:eastAsia="Arial" w:cs="Arial"/>
                                    <w:b w:val="0"/>
                                    <w:szCs w:val="32"/>
                                    <w:bdr w:val="nil"/>
                                    <w:lang w:val="nl-BE"/>
                                  </w:rPr>
                                  <w:t>2017</w:t>
                                </w:r>
                                <w:bookmarkEnd w:id="5"/>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1.65pt;margin-top:290.85pt;width:510.05pt;height:14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" filled="f" stroked="f">
                    <v:textbox>
                      <w:txbxContent>
                        <w:p w:rsidR="00D7257A" w:rsidRPr="00D7257A" w:rsidRDefault="00D7257A" w:rsidP="00D7257A">
                          <w:pPr>
                            <w:pStyle w:val="Sous-titredudocument"/>
                            <w:rPr>
                              <w:b w:val="0"/>
                            </w:rPr>
                          </w:pPr>
                          <w:bookmarkStart w:id="6" w:name="_Toc481047123"/>
                          <w:bookmarkStart w:id="7" w:name="_Toc481048796"/>
                          <w:bookmarkStart w:id="8" w:name="_Toc518917028"/>
                          <w:r w:rsidRPr="00D7257A">
                            <w:rPr>
                              <w:rFonts w:eastAsia="Arial" w:cs="Arial"/>
                              <w:b w:val="0"/>
                              <w:szCs w:val="32"/>
                              <w:bdr w:val="nil"/>
                              <w:lang w:val="nl-BE"/>
                            </w:rPr>
                            <w:t xml:space="preserve">Gegevens betreffende </w:t>
                          </w:r>
                          <w:bookmarkEnd w:id="6"/>
                          <w:bookmarkEnd w:id="7"/>
                          <w:r w:rsidRPr="00D7257A">
                            <w:rPr>
                              <w:rFonts w:eastAsia="Arial" w:cs="Arial"/>
                              <w:b w:val="0"/>
                              <w:szCs w:val="32"/>
                              <w:bdr w:val="nil"/>
                              <w:lang w:val="nl-BE"/>
                            </w:rPr>
                            <w:t>2017</w:t>
                          </w:r>
                          <w:bookmarkEnd w:id="8"/>
                        </w:p>
                      </w:txbxContent>
                    </v:textbox>
                  </v:shape>
                </w:pict>
              </mc:Fallback>
            </mc:AlternateContent>
          </w:r>
          <w:r w:rsidR="00D7257A">
            <w:rPr>
              <w:noProof/>
              <w:lang w:eastAsia="fr-BE"/>
            </w:rPr>
            <mc:AlternateContent>
              <mc:Choice Requires="wps">
                <w:drawing>
                  <wp:anchor distT="0" distB="0" distL="114300" distR="114300" simplePos="0" relativeHeight="251659264" behindDoc="0" locked="1" layoutInCell="1" allowOverlap="1" wp14:anchorId="0B8105CB" wp14:editId="6FC7FB75">
                    <wp:simplePos x="0" y="0"/>
                    <wp:positionH relativeFrom="column">
                      <wp:posOffset>-205105</wp:posOffset>
                    </wp:positionH>
                    <wp:positionV relativeFrom="page">
                      <wp:posOffset>3704590</wp:posOffset>
                    </wp:positionV>
                    <wp:extent cx="4057650" cy="3372485"/>
                    <wp:effectExtent l="0" t="0" r="0" b="0"/>
                    <wp:wrapNone/>
                    <wp:docPr id="17"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057650" cy="337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57A" w:rsidRPr="00A22E25" w:rsidRDefault="00D7257A" w:rsidP="00D7257A">
                                <w:pPr>
                                  <w:pStyle w:val="Sansinterligne"/>
                                  <w:jc w:val="left"/>
                                  <w:rPr>
                                    <w:rFonts w:eastAsiaTheme="majorEastAsia" w:cs="Arial"/>
                                    <w:sz w:val="52"/>
                                    <w:szCs w:val="72"/>
                                    <w:lang w:val="nl-BE"/>
                                  </w:rPr>
                                </w:pPr>
                                <w:r>
                                  <w:rPr>
                                    <w:rStyle w:val="TitreCar"/>
                                    <w:rFonts w:eastAsia="Arial"/>
                                    <w:bCs/>
                                    <w:sz w:val="56"/>
                                    <w:szCs w:val="56"/>
                                    <w:bdr w:val="nil"/>
                                    <w:lang w:val="nl-BE"/>
                                  </w:rPr>
                                  <w:t>Activiteitenverslag van de directie Steun aan Ondernemingen</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6.15pt;margin-top:291.7pt;width:319.5pt;height:26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" filled="f" stroked="f">
                    <o:lock v:ext="edit" aspectratio="t"/>
                    <v:textbox>
                      <w:txbxContent>
                        <w:p w:rsidR="00D7257A" w:rsidRPr="00A22E25" w:rsidRDefault="00D7257A" w:rsidP="00D7257A">
                          <w:pPr>
                            <w:pStyle w:val="Sansinterligne"/>
                            <w:jc w:val="left"/>
                            <w:rPr>
                              <w:rFonts w:eastAsiaTheme="majorEastAsia" w:cs="Arial"/>
                              <w:sz w:val="52"/>
                              <w:szCs w:val="72"/>
                              <w:lang w:val="nl-BE"/>
                            </w:rPr>
                          </w:pPr>
                          <w:r>
                            <w:rPr>
                              <w:rStyle w:val="TitreCar"/>
                              <w:rFonts w:eastAsia="Arial"/>
                              <w:bCs/>
                              <w:sz w:val="56"/>
                              <w:szCs w:val="56"/>
                              <w:bdr w:val="nil"/>
                              <w:lang w:val="nl-BE"/>
                            </w:rPr>
                            <w:t>Activiteitenverslag van de directie Steun aan Ondernemingen</w:t>
                          </w:r>
                        </w:p>
                      </w:txbxContent>
                    </v:textbox>
                    <w10:wrap anchory="page"/>
                    <w10:anchorlock/>
                  </v:shape>
                </w:pict>
              </mc:Fallback>
            </mc:AlternateContent>
          </w:r>
        </w:sdtContent>
      </w:sdt>
      <w:bookmarkEnd w:id="0"/>
      <w:bookmarkEnd w:id="1"/>
      <w:bookmarkEnd w:id="2"/>
    </w:p>
    <w:p w:rsidR="00D7257A" w:rsidRDefault="00D7257A" w:rsidP="00D7257A">
      <w:pPr>
        <w:rPr>
          <w:rFonts w:eastAsiaTheme="majorEastAsia" w:cstheme="majorBidi"/>
          <w:color w:val="0A00BE"/>
          <w:sz w:val="28"/>
          <w:szCs w:val="28"/>
        </w:rPr>
      </w:pPr>
      <w:r>
        <w:br w:type="page"/>
      </w:r>
    </w:p>
    <w:sdt>
      <w:sdtPr>
        <w:rPr>
          <w:rFonts w:ascii="Arial" w:eastAsiaTheme="minorHAnsi" w:hAnsi="Arial" w:cstheme="minorBidi"/>
          <w:b w:val="0"/>
          <w:bCs w:val="0"/>
          <w:color w:val="auto"/>
          <w:sz w:val="20"/>
          <w:szCs w:val="22"/>
          <w:lang w:val="fr-FR" w:eastAsia="en-US"/>
        </w:rPr>
        <w:id w:val="172777104"/>
        <w:docPartObj>
          <w:docPartGallery w:val="Table of Contents"/>
          <w:docPartUnique/>
        </w:docPartObj>
      </w:sdtPr>
      <w:sdtEndPr/>
      <w:sdtContent>
        <w:p w:rsidR="00D7257A" w:rsidRDefault="00D7257A" w:rsidP="00D7257A">
          <w:pPr>
            <w:pStyle w:val="En-ttedetabledesmatires"/>
          </w:pPr>
          <w:r>
            <w:rPr>
              <w:rFonts w:ascii="Arial" w:eastAsia="Arial" w:hAnsi="Arial" w:cs="Arial"/>
              <w:color w:val="365F91"/>
              <w:bdr w:val="nil"/>
              <w:lang w:val="nl-BE"/>
            </w:rPr>
            <w:t>Inhoud</w:t>
          </w:r>
        </w:p>
        <w:p w:rsidR="00D7257A" w:rsidRDefault="00D7257A" w:rsidP="00D7257A">
          <w:pPr>
            <w:pStyle w:val="TM1"/>
            <w:tabs>
              <w:tab w:val="right" w:leader="dot" w:pos="9060"/>
            </w:tabs>
            <w:rPr>
              <w:rFonts w:asciiTheme="minorHAnsi" w:eastAsiaTheme="minorEastAsia" w:hAnsiTheme="minorHAnsi"/>
              <w:noProof/>
              <w:sz w:val="22"/>
              <w:lang w:eastAsia="fr-BE"/>
            </w:rPr>
          </w:pPr>
          <w:r>
            <w:fldChar w:fldCharType="begin"/>
          </w:r>
          <w:r>
            <w:instrText xml:space="preserve"> TOC \o "1-3" \h \z \u </w:instrText>
          </w:r>
          <w:r>
            <w:fldChar w:fldCharType="separate"/>
          </w:r>
          <w:hyperlink w:anchor="_Toc518917027" w:history="1">
            <w:r>
              <w:rPr>
                <w:noProof/>
                <w:webHidden/>
              </w:rPr>
              <w:tab/>
            </w:r>
            <w:r>
              <w:rPr>
                <w:noProof/>
                <w:webHidden/>
              </w:rPr>
              <w:fldChar w:fldCharType="begin"/>
            </w:r>
            <w:r>
              <w:rPr>
                <w:noProof/>
                <w:webHidden/>
              </w:rPr>
              <w:instrText xml:space="preserve"> PAGEREF _Toc518917027 \h </w:instrText>
            </w:r>
            <w:r>
              <w:rPr>
                <w:noProof/>
                <w:webHidden/>
              </w:rPr>
            </w:r>
            <w:r>
              <w:rPr>
                <w:noProof/>
                <w:webHidden/>
              </w:rPr>
              <w:fldChar w:fldCharType="separate"/>
            </w:r>
            <w:r w:rsidR="00E66C69">
              <w:rPr>
                <w:noProof/>
                <w:webHidden/>
              </w:rPr>
              <w:t>1</w:t>
            </w:r>
            <w:r>
              <w:rPr>
                <w:noProof/>
                <w:webHidden/>
              </w:rPr>
              <w:fldChar w:fldCharType="end"/>
            </w:r>
          </w:hyperlink>
        </w:p>
        <w:p w:rsidR="00D7257A" w:rsidRDefault="00473020" w:rsidP="00D7257A">
          <w:pPr>
            <w:pStyle w:val="TM1"/>
            <w:tabs>
              <w:tab w:val="right" w:leader="dot" w:pos="9060"/>
            </w:tabs>
            <w:rPr>
              <w:rFonts w:asciiTheme="minorHAnsi" w:eastAsiaTheme="minorEastAsia" w:hAnsiTheme="minorHAnsi"/>
              <w:noProof/>
              <w:sz w:val="22"/>
              <w:lang w:eastAsia="fr-BE"/>
            </w:rPr>
          </w:pPr>
          <w:hyperlink r:id="rId8" w:anchor="_Toc518917028" w:history="1">
            <w:r w:rsidR="00D7257A" w:rsidRPr="00D00223">
              <w:rPr>
                <w:rStyle w:val="Lienhypertexte"/>
                <w:rFonts w:eastAsia="Arial" w:cs="Arial"/>
                <w:noProof/>
                <w:bdr w:val="nil"/>
                <w:lang w:val="nl-BE"/>
              </w:rPr>
              <w:t>Gegevens betreffende 2017</w:t>
            </w:r>
            <w:r w:rsidR="00D7257A">
              <w:rPr>
                <w:noProof/>
                <w:webHidden/>
              </w:rPr>
              <w:tab/>
            </w:r>
            <w:r w:rsidR="00D7257A">
              <w:rPr>
                <w:noProof/>
                <w:webHidden/>
              </w:rPr>
              <w:fldChar w:fldCharType="begin"/>
            </w:r>
            <w:r w:rsidR="00D7257A">
              <w:rPr>
                <w:noProof/>
                <w:webHidden/>
              </w:rPr>
              <w:instrText xml:space="preserve"> PAGEREF _Toc518917028 \h </w:instrText>
            </w:r>
            <w:r w:rsidR="00D7257A">
              <w:rPr>
                <w:noProof/>
                <w:webHidden/>
              </w:rPr>
            </w:r>
            <w:r w:rsidR="00D7257A">
              <w:rPr>
                <w:noProof/>
                <w:webHidden/>
              </w:rPr>
              <w:fldChar w:fldCharType="separate"/>
            </w:r>
            <w:r w:rsidR="00E66C69">
              <w:rPr>
                <w:noProof/>
                <w:webHidden/>
              </w:rPr>
              <w:t>1</w:t>
            </w:r>
            <w:r w:rsidR="00D7257A">
              <w:rPr>
                <w:noProof/>
                <w:webHidden/>
              </w:rPr>
              <w:fldChar w:fldCharType="end"/>
            </w:r>
          </w:hyperlink>
        </w:p>
        <w:p w:rsidR="00D7257A" w:rsidRDefault="00473020" w:rsidP="00D7257A">
          <w:pPr>
            <w:pStyle w:val="TM1"/>
            <w:tabs>
              <w:tab w:val="left" w:pos="440"/>
              <w:tab w:val="right" w:leader="dot" w:pos="9060"/>
            </w:tabs>
            <w:rPr>
              <w:rFonts w:asciiTheme="minorHAnsi" w:eastAsiaTheme="minorEastAsia" w:hAnsiTheme="minorHAnsi"/>
              <w:noProof/>
              <w:sz w:val="22"/>
              <w:lang w:eastAsia="fr-BE"/>
            </w:rPr>
          </w:pPr>
          <w:hyperlink w:anchor="_Toc518917029" w:history="1">
            <w:r w:rsidR="00D7257A" w:rsidRPr="00D00223">
              <w:rPr>
                <w:rStyle w:val="Lienhypertexte"/>
                <w:noProof/>
              </w:rPr>
              <w:t>1</w:t>
            </w:r>
            <w:r w:rsidR="00D7257A">
              <w:rPr>
                <w:rFonts w:asciiTheme="minorHAnsi" w:eastAsiaTheme="minorEastAsia" w:hAnsiTheme="minorHAnsi"/>
                <w:noProof/>
                <w:sz w:val="22"/>
                <w:lang w:eastAsia="fr-BE"/>
              </w:rPr>
              <w:tab/>
            </w:r>
            <w:r w:rsidR="00D7257A" w:rsidRPr="00D00223">
              <w:rPr>
                <w:rStyle w:val="Lienhypertexte"/>
                <w:rFonts w:eastAsia="Arial" w:cs="Arial"/>
                <w:noProof/>
                <w:bdr w:val="nil"/>
                <w:lang w:val="nl-BE"/>
              </w:rPr>
              <w:t>Inleiding</w:t>
            </w:r>
            <w:r w:rsidR="00D7257A">
              <w:rPr>
                <w:noProof/>
                <w:webHidden/>
              </w:rPr>
              <w:tab/>
            </w:r>
            <w:r w:rsidR="00D7257A">
              <w:rPr>
                <w:noProof/>
                <w:webHidden/>
              </w:rPr>
              <w:fldChar w:fldCharType="begin"/>
            </w:r>
            <w:r w:rsidR="00D7257A">
              <w:rPr>
                <w:noProof/>
                <w:webHidden/>
              </w:rPr>
              <w:instrText xml:space="preserve"> PAGEREF _Toc518917029 \h </w:instrText>
            </w:r>
            <w:r w:rsidR="00D7257A">
              <w:rPr>
                <w:noProof/>
                <w:webHidden/>
              </w:rPr>
            </w:r>
            <w:r w:rsidR="00D7257A">
              <w:rPr>
                <w:noProof/>
                <w:webHidden/>
              </w:rPr>
              <w:fldChar w:fldCharType="separate"/>
            </w:r>
            <w:r w:rsidR="00E66C69">
              <w:rPr>
                <w:noProof/>
                <w:webHidden/>
              </w:rPr>
              <w:t>4</w:t>
            </w:r>
            <w:r w:rsidR="00D7257A">
              <w:rPr>
                <w:noProof/>
                <w:webHidden/>
              </w:rPr>
              <w:fldChar w:fldCharType="end"/>
            </w:r>
          </w:hyperlink>
        </w:p>
        <w:p w:rsidR="00D7257A" w:rsidRDefault="00473020" w:rsidP="00D7257A">
          <w:pPr>
            <w:pStyle w:val="TM1"/>
            <w:tabs>
              <w:tab w:val="left" w:pos="440"/>
              <w:tab w:val="right" w:leader="dot" w:pos="9060"/>
            </w:tabs>
            <w:rPr>
              <w:rFonts w:asciiTheme="minorHAnsi" w:eastAsiaTheme="minorEastAsia" w:hAnsiTheme="minorHAnsi"/>
              <w:noProof/>
              <w:sz w:val="22"/>
              <w:lang w:eastAsia="fr-BE"/>
            </w:rPr>
          </w:pPr>
          <w:hyperlink w:anchor="_Toc518917030" w:history="1">
            <w:r w:rsidR="00D7257A" w:rsidRPr="00D00223">
              <w:rPr>
                <w:rStyle w:val="Lienhypertexte"/>
                <w:noProof/>
              </w:rPr>
              <w:t>2</w:t>
            </w:r>
            <w:r w:rsidR="00D7257A">
              <w:rPr>
                <w:rFonts w:asciiTheme="minorHAnsi" w:eastAsiaTheme="minorEastAsia" w:hAnsiTheme="minorHAnsi"/>
                <w:noProof/>
                <w:sz w:val="22"/>
                <w:lang w:eastAsia="fr-BE"/>
              </w:rPr>
              <w:tab/>
            </w:r>
            <w:r w:rsidR="00D7257A" w:rsidRPr="00D00223">
              <w:rPr>
                <w:rStyle w:val="Lienhypertexte"/>
                <w:rFonts w:eastAsia="Arial" w:cs="Arial"/>
                <w:noProof/>
                <w:bdr w:val="nil"/>
                <w:lang w:val="nl-BE"/>
              </w:rPr>
              <w:t>Voorstelling van de directie</w:t>
            </w:r>
            <w:bookmarkStart w:id="6" w:name="_GoBack"/>
            <w:bookmarkEnd w:id="6"/>
            <w:r w:rsidR="00D7257A">
              <w:rPr>
                <w:noProof/>
                <w:webHidden/>
              </w:rPr>
              <w:tab/>
            </w:r>
            <w:r w:rsidR="00D7257A">
              <w:rPr>
                <w:noProof/>
                <w:webHidden/>
              </w:rPr>
              <w:fldChar w:fldCharType="begin"/>
            </w:r>
            <w:r w:rsidR="00D7257A">
              <w:rPr>
                <w:noProof/>
                <w:webHidden/>
              </w:rPr>
              <w:instrText xml:space="preserve"> PAGEREF _Toc518917030 \h </w:instrText>
            </w:r>
            <w:r w:rsidR="00D7257A">
              <w:rPr>
                <w:noProof/>
                <w:webHidden/>
              </w:rPr>
            </w:r>
            <w:r w:rsidR="00D7257A">
              <w:rPr>
                <w:noProof/>
                <w:webHidden/>
              </w:rPr>
              <w:fldChar w:fldCharType="separate"/>
            </w:r>
            <w:r w:rsidR="00E66C69">
              <w:rPr>
                <w:noProof/>
                <w:webHidden/>
              </w:rPr>
              <w:t>5</w:t>
            </w:r>
            <w:r w:rsidR="00D7257A">
              <w:rPr>
                <w:noProof/>
                <w:webHidden/>
              </w:rPr>
              <w:fldChar w:fldCharType="end"/>
            </w:r>
          </w:hyperlink>
        </w:p>
        <w:p w:rsidR="00D7257A" w:rsidRDefault="00473020" w:rsidP="00D7257A">
          <w:pPr>
            <w:pStyle w:val="TM2"/>
            <w:tabs>
              <w:tab w:val="left" w:pos="880"/>
              <w:tab w:val="right" w:leader="dot" w:pos="9060"/>
            </w:tabs>
            <w:rPr>
              <w:noProof/>
            </w:rPr>
          </w:pPr>
          <w:hyperlink w:anchor="_Toc518917031" w:history="1">
            <w:r w:rsidR="00D7257A" w:rsidRPr="00D00223">
              <w:rPr>
                <w:rStyle w:val="Lienhypertexte"/>
                <w:noProof/>
              </w:rPr>
              <w:t>2.1</w:t>
            </w:r>
            <w:r w:rsidR="00D7257A">
              <w:rPr>
                <w:noProof/>
              </w:rPr>
              <w:tab/>
            </w:r>
            <w:r w:rsidR="00D7257A" w:rsidRPr="00D00223">
              <w:rPr>
                <w:rStyle w:val="Lienhypertexte"/>
                <w:rFonts w:eastAsia="Arial" w:cs="Arial"/>
                <w:noProof/>
                <w:bdr w:val="nil"/>
                <w:lang w:val="nl-BE"/>
              </w:rPr>
              <w:t>Personeelssterkte (op 31/12/2017)</w:t>
            </w:r>
            <w:r w:rsidR="00D7257A">
              <w:rPr>
                <w:noProof/>
                <w:webHidden/>
              </w:rPr>
              <w:tab/>
            </w:r>
            <w:r w:rsidR="00D7257A">
              <w:rPr>
                <w:noProof/>
                <w:webHidden/>
              </w:rPr>
              <w:fldChar w:fldCharType="begin"/>
            </w:r>
            <w:r w:rsidR="00D7257A">
              <w:rPr>
                <w:noProof/>
                <w:webHidden/>
              </w:rPr>
              <w:instrText xml:space="preserve"> PAGEREF _Toc518917031 \h </w:instrText>
            </w:r>
            <w:r w:rsidR="00D7257A">
              <w:rPr>
                <w:noProof/>
                <w:webHidden/>
              </w:rPr>
            </w:r>
            <w:r w:rsidR="00D7257A">
              <w:rPr>
                <w:noProof/>
                <w:webHidden/>
              </w:rPr>
              <w:fldChar w:fldCharType="separate"/>
            </w:r>
            <w:r w:rsidR="00E66C69">
              <w:rPr>
                <w:noProof/>
                <w:webHidden/>
              </w:rPr>
              <w:t>5</w:t>
            </w:r>
            <w:r w:rsidR="00D7257A">
              <w:rPr>
                <w:noProof/>
                <w:webHidden/>
              </w:rPr>
              <w:fldChar w:fldCharType="end"/>
            </w:r>
          </w:hyperlink>
        </w:p>
        <w:p w:rsidR="00D7257A" w:rsidRDefault="00473020" w:rsidP="00D7257A">
          <w:pPr>
            <w:pStyle w:val="TM2"/>
            <w:tabs>
              <w:tab w:val="left" w:pos="880"/>
              <w:tab w:val="right" w:leader="dot" w:pos="9060"/>
            </w:tabs>
            <w:rPr>
              <w:noProof/>
            </w:rPr>
          </w:pPr>
          <w:hyperlink w:anchor="_Toc518917032" w:history="1">
            <w:r w:rsidR="00D7257A" w:rsidRPr="00D00223">
              <w:rPr>
                <w:rStyle w:val="Lienhypertexte"/>
                <w:noProof/>
              </w:rPr>
              <w:t>2.2</w:t>
            </w:r>
            <w:r w:rsidR="00D7257A">
              <w:rPr>
                <w:noProof/>
              </w:rPr>
              <w:tab/>
            </w:r>
            <w:r w:rsidR="00D7257A" w:rsidRPr="00D00223">
              <w:rPr>
                <w:rStyle w:val="Lienhypertexte"/>
                <w:rFonts w:eastAsia="Arial" w:cs="Arial"/>
                <w:noProof/>
                <w:bdr w:val="nil"/>
                <w:lang w:val="nl-BE"/>
              </w:rPr>
              <w:t>Organisatie</w:t>
            </w:r>
            <w:r w:rsidR="00D7257A">
              <w:rPr>
                <w:noProof/>
                <w:webHidden/>
              </w:rPr>
              <w:tab/>
            </w:r>
            <w:r w:rsidR="00D7257A">
              <w:rPr>
                <w:noProof/>
                <w:webHidden/>
              </w:rPr>
              <w:fldChar w:fldCharType="begin"/>
            </w:r>
            <w:r w:rsidR="00D7257A">
              <w:rPr>
                <w:noProof/>
                <w:webHidden/>
              </w:rPr>
              <w:instrText xml:space="preserve"> PAGEREF _Toc518917032 \h </w:instrText>
            </w:r>
            <w:r w:rsidR="00D7257A">
              <w:rPr>
                <w:noProof/>
                <w:webHidden/>
              </w:rPr>
            </w:r>
            <w:r w:rsidR="00D7257A">
              <w:rPr>
                <w:noProof/>
                <w:webHidden/>
              </w:rPr>
              <w:fldChar w:fldCharType="separate"/>
            </w:r>
            <w:r w:rsidR="00E66C69">
              <w:rPr>
                <w:noProof/>
                <w:webHidden/>
              </w:rPr>
              <w:t>5</w:t>
            </w:r>
            <w:r w:rsidR="00D7257A">
              <w:rPr>
                <w:noProof/>
                <w:webHidden/>
              </w:rPr>
              <w:fldChar w:fldCharType="end"/>
            </w:r>
          </w:hyperlink>
        </w:p>
        <w:p w:rsidR="00D7257A" w:rsidRDefault="00473020" w:rsidP="00D7257A">
          <w:pPr>
            <w:pStyle w:val="TM1"/>
            <w:tabs>
              <w:tab w:val="left" w:pos="440"/>
              <w:tab w:val="right" w:leader="dot" w:pos="9060"/>
            </w:tabs>
            <w:rPr>
              <w:rFonts w:asciiTheme="minorHAnsi" w:eastAsiaTheme="minorEastAsia" w:hAnsiTheme="minorHAnsi"/>
              <w:noProof/>
              <w:sz w:val="22"/>
              <w:lang w:eastAsia="fr-BE"/>
            </w:rPr>
          </w:pPr>
          <w:hyperlink w:anchor="_Toc518917033" w:history="1">
            <w:r w:rsidR="00D7257A" w:rsidRPr="00D00223">
              <w:rPr>
                <w:rStyle w:val="Lienhypertexte"/>
                <w:noProof/>
              </w:rPr>
              <w:t>3</w:t>
            </w:r>
            <w:r w:rsidR="00D7257A">
              <w:rPr>
                <w:rFonts w:asciiTheme="minorHAnsi" w:eastAsiaTheme="minorEastAsia" w:hAnsiTheme="minorHAnsi"/>
                <w:noProof/>
                <w:sz w:val="22"/>
                <w:lang w:eastAsia="fr-BE"/>
              </w:rPr>
              <w:tab/>
            </w:r>
            <w:r w:rsidR="00D7257A" w:rsidRPr="00D00223">
              <w:rPr>
                <w:rStyle w:val="Lienhypertexte"/>
                <w:rFonts w:eastAsia="Arial" w:cs="Arial"/>
                <w:noProof/>
                <w:bdr w:val="nil"/>
                <w:lang w:val="nl-BE"/>
              </w:rPr>
              <w:t>Overzicht: aantal ingediende dossiers met een beslissing</w:t>
            </w:r>
            <w:r w:rsidR="00D7257A">
              <w:rPr>
                <w:noProof/>
                <w:webHidden/>
              </w:rPr>
              <w:tab/>
            </w:r>
            <w:r w:rsidR="00D7257A">
              <w:rPr>
                <w:noProof/>
                <w:webHidden/>
              </w:rPr>
              <w:fldChar w:fldCharType="begin"/>
            </w:r>
            <w:r w:rsidR="00D7257A">
              <w:rPr>
                <w:noProof/>
                <w:webHidden/>
              </w:rPr>
              <w:instrText xml:space="preserve"> PAGEREF _Toc518917033 \h </w:instrText>
            </w:r>
            <w:r w:rsidR="00D7257A">
              <w:rPr>
                <w:noProof/>
                <w:webHidden/>
              </w:rPr>
            </w:r>
            <w:r w:rsidR="00D7257A">
              <w:rPr>
                <w:noProof/>
                <w:webHidden/>
              </w:rPr>
              <w:fldChar w:fldCharType="separate"/>
            </w:r>
            <w:r w:rsidR="00E66C69">
              <w:rPr>
                <w:noProof/>
                <w:webHidden/>
              </w:rPr>
              <w:t>7</w:t>
            </w:r>
            <w:r w:rsidR="00D7257A">
              <w:rPr>
                <w:noProof/>
                <w:webHidden/>
              </w:rPr>
              <w:fldChar w:fldCharType="end"/>
            </w:r>
          </w:hyperlink>
        </w:p>
        <w:p w:rsidR="00D7257A" w:rsidRDefault="00473020" w:rsidP="00D7257A">
          <w:pPr>
            <w:pStyle w:val="TM1"/>
            <w:tabs>
              <w:tab w:val="left" w:pos="440"/>
              <w:tab w:val="right" w:leader="dot" w:pos="9060"/>
            </w:tabs>
            <w:rPr>
              <w:rFonts w:asciiTheme="minorHAnsi" w:eastAsiaTheme="minorEastAsia" w:hAnsiTheme="minorHAnsi"/>
              <w:noProof/>
              <w:sz w:val="22"/>
              <w:lang w:eastAsia="fr-BE"/>
            </w:rPr>
          </w:pPr>
          <w:hyperlink w:anchor="_Toc518917034" w:history="1">
            <w:r w:rsidR="00D7257A" w:rsidRPr="00D00223">
              <w:rPr>
                <w:rStyle w:val="Lienhypertexte"/>
                <w:noProof/>
              </w:rPr>
              <w:t>4</w:t>
            </w:r>
            <w:r w:rsidR="00D7257A">
              <w:rPr>
                <w:rFonts w:asciiTheme="minorHAnsi" w:eastAsiaTheme="minorEastAsia" w:hAnsiTheme="minorHAnsi"/>
                <w:noProof/>
                <w:sz w:val="22"/>
                <w:lang w:eastAsia="fr-BE"/>
              </w:rPr>
              <w:tab/>
            </w:r>
            <w:r w:rsidR="00D7257A" w:rsidRPr="00D00223">
              <w:rPr>
                <w:rStyle w:val="Lienhypertexte"/>
                <w:rFonts w:eastAsia="Arial" w:cs="Arial"/>
                <w:noProof/>
                <w:bdr w:val="nil"/>
                <w:lang w:val="nl-BE"/>
              </w:rPr>
              <w:t>Organieke ordonnantie van 13 december 2007 betreffende de steun ter bevordering van de economische expansie</w:t>
            </w:r>
            <w:r w:rsidR="00D7257A">
              <w:rPr>
                <w:noProof/>
                <w:webHidden/>
              </w:rPr>
              <w:tab/>
            </w:r>
            <w:r w:rsidR="00D7257A">
              <w:rPr>
                <w:noProof/>
                <w:webHidden/>
              </w:rPr>
              <w:fldChar w:fldCharType="begin"/>
            </w:r>
            <w:r w:rsidR="00D7257A">
              <w:rPr>
                <w:noProof/>
                <w:webHidden/>
              </w:rPr>
              <w:instrText xml:space="preserve"> PAGEREF _Toc518917034 \h </w:instrText>
            </w:r>
            <w:r w:rsidR="00D7257A">
              <w:rPr>
                <w:noProof/>
                <w:webHidden/>
              </w:rPr>
            </w:r>
            <w:r w:rsidR="00D7257A">
              <w:rPr>
                <w:noProof/>
                <w:webHidden/>
              </w:rPr>
              <w:fldChar w:fldCharType="separate"/>
            </w:r>
            <w:r w:rsidR="00E66C69">
              <w:rPr>
                <w:noProof/>
                <w:webHidden/>
              </w:rPr>
              <w:t>8</w:t>
            </w:r>
            <w:r w:rsidR="00D7257A">
              <w:rPr>
                <w:noProof/>
                <w:webHidden/>
              </w:rPr>
              <w:fldChar w:fldCharType="end"/>
            </w:r>
          </w:hyperlink>
        </w:p>
        <w:p w:rsidR="00D7257A" w:rsidRDefault="00473020" w:rsidP="00D7257A">
          <w:pPr>
            <w:pStyle w:val="TM2"/>
            <w:tabs>
              <w:tab w:val="left" w:pos="880"/>
              <w:tab w:val="right" w:leader="dot" w:pos="9060"/>
            </w:tabs>
            <w:rPr>
              <w:noProof/>
            </w:rPr>
          </w:pPr>
          <w:hyperlink w:anchor="_Toc518917035" w:history="1">
            <w:r w:rsidR="00D7257A" w:rsidRPr="00D00223">
              <w:rPr>
                <w:rStyle w:val="Lienhypertexte"/>
                <w:noProof/>
              </w:rPr>
              <w:t>4.1</w:t>
            </w:r>
            <w:r w:rsidR="00D7257A">
              <w:rPr>
                <w:noProof/>
              </w:rPr>
              <w:tab/>
            </w:r>
            <w:r w:rsidR="00D7257A" w:rsidRPr="00D00223">
              <w:rPr>
                <w:rStyle w:val="Lienhypertexte"/>
                <w:rFonts w:eastAsia="Arial" w:cs="Arial"/>
                <w:noProof/>
                <w:bdr w:val="nil"/>
                <w:lang w:val="nl-BE"/>
              </w:rPr>
              <w:t>De SOFT-steun</w:t>
            </w:r>
            <w:r w:rsidR="00D7257A">
              <w:rPr>
                <w:noProof/>
                <w:webHidden/>
              </w:rPr>
              <w:tab/>
            </w:r>
            <w:r w:rsidR="00D7257A">
              <w:rPr>
                <w:noProof/>
                <w:webHidden/>
              </w:rPr>
              <w:fldChar w:fldCharType="begin"/>
            </w:r>
            <w:r w:rsidR="00D7257A">
              <w:rPr>
                <w:noProof/>
                <w:webHidden/>
              </w:rPr>
              <w:instrText xml:space="preserve"> PAGEREF _Toc518917035 \h </w:instrText>
            </w:r>
            <w:r w:rsidR="00D7257A">
              <w:rPr>
                <w:noProof/>
                <w:webHidden/>
              </w:rPr>
            </w:r>
            <w:r w:rsidR="00D7257A">
              <w:rPr>
                <w:noProof/>
                <w:webHidden/>
              </w:rPr>
              <w:fldChar w:fldCharType="separate"/>
            </w:r>
            <w:r w:rsidR="00E66C69">
              <w:rPr>
                <w:noProof/>
                <w:webHidden/>
              </w:rPr>
              <w:t>8</w:t>
            </w:r>
            <w:r w:rsidR="00D7257A">
              <w:rPr>
                <w:noProof/>
                <w:webHidden/>
              </w:rPr>
              <w:fldChar w:fldCharType="end"/>
            </w:r>
          </w:hyperlink>
        </w:p>
        <w:p w:rsidR="00D7257A" w:rsidRDefault="00473020" w:rsidP="00D7257A">
          <w:pPr>
            <w:pStyle w:val="TM3"/>
            <w:tabs>
              <w:tab w:val="left" w:pos="1320"/>
              <w:tab w:val="right" w:leader="dot" w:pos="9060"/>
            </w:tabs>
            <w:rPr>
              <w:noProof/>
            </w:rPr>
          </w:pPr>
          <w:hyperlink w:anchor="_Toc518917036" w:history="1">
            <w:r w:rsidR="00D7257A" w:rsidRPr="00D00223">
              <w:rPr>
                <w:rStyle w:val="Lienhypertexte"/>
                <w:rFonts w:eastAsia="Arial Unicode MS"/>
                <w:noProof/>
              </w:rPr>
              <w:t>4.1.1</w:t>
            </w:r>
            <w:r w:rsidR="00D7257A">
              <w:rPr>
                <w:noProof/>
              </w:rPr>
              <w:tab/>
            </w:r>
            <w:r w:rsidR="00D7257A" w:rsidRPr="00D00223">
              <w:rPr>
                <w:rStyle w:val="Lienhypertexte"/>
                <w:rFonts w:eastAsia="Arial" w:cs="Arial"/>
                <w:noProof/>
                <w:bdr w:val="nil"/>
                <w:lang w:val="nl-BE"/>
              </w:rPr>
              <w:t>Overzicht</w:t>
            </w:r>
            <w:r w:rsidR="00D7257A">
              <w:rPr>
                <w:noProof/>
                <w:webHidden/>
              </w:rPr>
              <w:tab/>
            </w:r>
            <w:r w:rsidR="00D7257A">
              <w:rPr>
                <w:noProof/>
                <w:webHidden/>
              </w:rPr>
              <w:fldChar w:fldCharType="begin"/>
            </w:r>
            <w:r w:rsidR="00D7257A">
              <w:rPr>
                <w:noProof/>
                <w:webHidden/>
              </w:rPr>
              <w:instrText xml:space="preserve"> PAGEREF _Toc518917036 \h </w:instrText>
            </w:r>
            <w:r w:rsidR="00D7257A">
              <w:rPr>
                <w:noProof/>
                <w:webHidden/>
              </w:rPr>
            </w:r>
            <w:r w:rsidR="00D7257A">
              <w:rPr>
                <w:noProof/>
                <w:webHidden/>
              </w:rPr>
              <w:fldChar w:fldCharType="separate"/>
            </w:r>
            <w:r w:rsidR="00E66C69">
              <w:rPr>
                <w:noProof/>
                <w:webHidden/>
              </w:rPr>
              <w:t>8</w:t>
            </w:r>
            <w:r w:rsidR="00D7257A">
              <w:rPr>
                <w:noProof/>
                <w:webHidden/>
              </w:rPr>
              <w:fldChar w:fldCharType="end"/>
            </w:r>
          </w:hyperlink>
        </w:p>
        <w:p w:rsidR="00D7257A" w:rsidRDefault="00473020" w:rsidP="00D7257A">
          <w:pPr>
            <w:pStyle w:val="TM3"/>
            <w:tabs>
              <w:tab w:val="left" w:pos="1320"/>
              <w:tab w:val="right" w:leader="dot" w:pos="9060"/>
            </w:tabs>
            <w:rPr>
              <w:noProof/>
            </w:rPr>
          </w:pPr>
          <w:hyperlink w:anchor="_Toc518917037" w:history="1">
            <w:r w:rsidR="00D7257A" w:rsidRPr="00D00223">
              <w:rPr>
                <w:rStyle w:val="Lienhypertexte"/>
                <w:rFonts w:eastAsia="Arial Unicode MS"/>
                <w:noProof/>
              </w:rPr>
              <w:t>4.1.2</w:t>
            </w:r>
            <w:r w:rsidR="00D7257A">
              <w:rPr>
                <w:noProof/>
              </w:rPr>
              <w:tab/>
            </w:r>
            <w:r w:rsidR="00D7257A" w:rsidRPr="00D00223">
              <w:rPr>
                <w:rStyle w:val="Lienhypertexte"/>
                <w:rFonts w:eastAsia="Arial" w:cs="Arial"/>
                <w:noProof/>
                <w:bdr w:val="nil"/>
                <w:lang w:val="nl-BE"/>
              </w:rPr>
              <w:t>De soorten steun</w:t>
            </w:r>
            <w:r w:rsidR="00D7257A">
              <w:rPr>
                <w:noProof/>
                <w:webHidden/>
              </w:rPr>
              <w:tab/>
            </w:r>
            <w:r w:rsidR="00D7257A">
              <w:rPr>
                <w:noProof/>
                <w:webHidden/>
              </w:rPr>
              <w:fldChar w:fldCharType="begin"/>
            </w:r>
            <w:r w:rsidR="00D7257A">
              <w:rPr>
                <w:noProof/>
                <w:webHidden/>
              </w:rPr>
              <w:instrText xml:space="preserve"> PAGEREF _Toc518917037 \h </w:instrText>
            </w:r>
            <w:r w:rsidR="00D7257A">
              <w:rPr>
                <w:noProof/>
                <w:webHidden/>
              </w:rPr>
            </w:r>
            <w:r w:rsidR="00D7257A">
              <w:rPr>
                <w:noProof/>
                <w:webHidden/>
              </w:rPr>
              <w:fldChar w:fldCharType="separate"/>
            </w:r>
            <w:r w:rsidR="00E66C69">
              <w:rPr>
                <w:noProof/>
                <w:webHidden/>
              </w:rPr>
              <w:t>9</w:t>
            </w:r>
            <w:r w:rsidR="00D7257A">
              <w:rPr>
                <w:noProof/>
                <w:webHidden/>
              </w:rPr>
              <w:fldChar w:fldCharType="end"/>
            </w:r>
          </w:hyperlink>
        </w:p>
        <w:p w:rsidR="00D7257A" w:rsidRDefault="00473020" w:rsidP="00D7257A">
          <w:pPr>
            <w:pStyle w:val="TM3"/>
            <w:tabs>
              <w:tab w:val="left" w:pos="1320"/>
              <w:tab w:val="right" w:leader="dot" w:pos="9060"/>
            </w:tabs>
            <w:rPr>
              <w:noProof/>
            </w:rPr>
          </w:pPr>
          <w:hyperlink w:anchor="_Toc518917038" w:history="1">
            <w:r w:rsidR="00D7257A" w:rsidRPr="00D00223">
              <w:rPr>
                <w:rStyle w:val="Lienhypertexte"/>
                <w:rFonts w:eastAsia="Arial Unicode MS"/>
                <w:noProof/>
              </w:rPr>
              <w:t>4.1.3</w:t>
            </w:r>
            <w:r w:rsidR="00D7257A">
              <w:rPr>
                <w:noProof/>
              </w:rPr>
              <w:tab/>
            </w:r>
            <w:r w:rsidR="00D7257A" w:rsidRPr="00D00223">
              <w:rPr>
                <w:rStyle w:val="Lienhypertexte"/>
                <w:rFonts w:eastAsia="Arial" w:cs="Arial"/>
                <w:noProof/>
                <w:bdr w:val="nil"/>
                <w:lang w:val="nl-BE"/>
              </w:rPr>
              <w:t>Opsplitsing van de dossiers met toegekende steun volgens de grootte van de onderneming</w:t>
            </w:r>
            <w:r w:rsidR="00D7257A">
              <w:rPr>
                <w:noProof/>
                <w:webHidden/>
              </w:rPr>
              <w:tab/>
            </w:r>
            <w:r w:rsidR="00D7257A">
              <w:rPr>
                <w:noProof/>
                <w:webHidden/>
              </w:rPr>
              <w:fldChar w:fldCharType="begin"/>
            </w:r>
            <w:r w:rsidR="00D7257A">
              <w:rPr>
                <w:noProof/>
                <w:webHidden/>
              </w:rPr>
              <w:instrText xml:space="preserve"> PAGEREF _Toc518917038 \h </w:instrText>
            </w:r>
            <w:r w:rsidR="00D7257A">
              <w:rPr>
                <w:noProof/>
                <w:webHidden/>
              </w:rPr>
            </w:r>
            <w:r w:rsidR="00D7257A">
              <w:rPr>
                <w:noProof/>
                <w:webHidden/>
              </w:rPr>
              <w:fldChar w:fldCharType="separate"/>
            </w:r>
            <w:r w:rsidR="00E66C69">
              <w:rPr>
                <w:noProof/>
                <w:webHidden/>
              </w:rPr>
              <w:t>14</w:t>
            </w:r>
            <w:r w:rsidR="00D7257A">
              <w:rPr>
                <w:noProof/>
                <w:webHidden/>
              </w:rPr>
              <w:fldChar w:fldCharType="end"/>
            </w:r>
          </w:hyperlink>
        </w:p>
        <w:p w:rsidR="00D7257A" w:rsidRDefault="00473020" w:rsidP="00D7257A">
          <w:pPr>
            <w:pStyle w:val="TM3"/>
            <w:tabs>
              <w:tab w:val="left" w:pos="1320"/>
              <w:tab w:val="right" w:leader="dot" w:pos="9060"/>
            </w:tabs>
            <w:rPr>
              <w:noProof/>
            </w:rPr>
          </w:pPr>
          <w:hyperlink w:anchor="_Toc518917039" w:history="1">
            <w:r w:rsidR="00D7257A" w:rsidRPr="00D00223">
              <w:rPr>
                <w:rStyle w:val="Lienhypertexte"/>
                <w:rFonts w:eastAsia="Arial Unicode MS"/>
                <w:noProof/>
              </w:rPr>
              <w:t>4.1.4</w:t>
            </w:r>
            <w:r w:rsidR="00D7257A">
              <w:rPr>
                <w:noProof/>
              </w:rPr>
              <w:tab/>
            </w:r>
            <w:r w:rsidR="00D7257A" w:rsidRPr="00D00223">
              <w:rPr>
                <w:rStyle w:val="Lienhypertexte"/>
                <w:rFonts w:eastAsia="Arial" w:cs="Arial"/>
                <w:noProof/>
                <w:bdr w:val="nil"/>
                <w:lang w:val="nl-BE"/>
              </w:rPr>
              <w:t>Opsplitsing van de toegekende premies volgens de activiteitensector (NACEBEL)</w:t>
            </w:r>
            <w:r w:rsidR="00D7257A">
              <w:rPr>
                <w:noProof/>
                <w:webHidden/>
              </w:rPr>
              <w:tab/>
            </w:r>
            <w:r w:rsidR="00D7257A">
              <w:rPr>
                <w:noProof/>
                <w:webHidden/>
              </w:rPr>
              <w:fldChar w:fldCharType="begin"/>
            </w:r>
            <w:r w:rsidR="00D7257A">
              <w:rPr>
                <w:noProof/>
                <w:webHidden/>
              </w:rPr>
              <w:instrText xml:space="preserve"> PAGEREF _Toc518917039 \h </w:instrText>
            </w:r>
            <w:r w:rsidR="00D7257A">
              <w:rPr>
                <w:noProof/>
                <w:webHidden/>
              </w:rPr>
            </w:r>
            <w:r w:rsidR="00D7257A">
              <w:rPr>
                <w:noProof/>
                <w:webHidden/>
              </w:rPr>
              <w:fldChar w:fldCharType="separate"/>
            </w:r>
            <w:r w:rsidR="00E66C69">
              <w:rPr>
                <w:noProof/>
                <w:webHidden/>
              </w:rPr>
              <w:t>15</w:t>
            </w:r>
            <w:r w:rsidR="00D7257A">
              <w:rPr>
                <w:noProof/>
                <w:webHidden/>
              </w:rPr>
              <w:fldChar w:fldCharType="end"/>
            </w:r>
          </w:hyperlink>
        </w:p>
        <w:p w:rsidR="00D7257A" w:rsidRDefault="00473020" w:rsidP="00D7257A">
          <w:pPr>
            <w:pStyle w:val="TM2"/>
            <w:tabs>
              <w:tab w:val="left" w:pos="880"/>
              <w:tab w:val="right" w:leader="dot" w:pos="9060"/>
            </w:tabs>
            <w:rPr>
              <w:noProof/>
            </w:rPr>
          </w:pPr>
          <w:hyperlink w:anchor="_Toc518917040" w:history="1">
            <w:r w:rsidR="00D7257A" w:rsidRPr="00D00223">
              <w:rPr>
                <w:rStyle w:val="Lienhypertexte"/>
                <w:noProof/>
              </w:rPr>
              <w:t>4.2</w:t>
            </w:r>
            <w:r w:rsidR="00D7257A">
              <w:rPr>
                <w:noProof/>
              </w:rPr>
              <w:tab/>
            </w:r>
            <w:r w:rsidR="00D7257A" w:rsidRPr="00D00223">
              <w:rPr>
                <w:rStyle w:val="Lienhypertexte"/>
                <w:rFonts w:eastAsia="Arial" w:cs="Arial"/>
                <w:noProof/>
                <w:bdr w:val="nil"/>
                <w:lang w:val="nl-BE"/>
              </w:rPr>
              <w:t>Steun voor algemene investeringen</w:t>
            </w:r>
            <w:r w:rsidR="00D7257A">
              <w:rPr>
                <w:noProof/>
                <w:webHidden/>
              </w:rPr>
              <w:tab/>
            </w:r>
            <w:r w:rsidR="00D7257A">
              <w:rPr>
                <w:noProof/>
                <w:webHidden/>
              </w:rPr>
              <w:fldChar w:fldCharType="begin"/>
            </w:r>
            <w:r w:rsidR="00D7257A">
              <w:rPr>
                <w:noProof/>
                <w:webHidden/>
              </w:rPr>
              <w:instrText xml:space="preserve"> PAGEREF _Toc518917040 \h </w:instrText>
            </w:r>
            <w:r w:rsidR="00D7257A">
              <w:rPr>
                <w:noProof/>
                <w:webHidden/>
              </w:rPr>
            </w:r>
            <w:r w:rsidR="00D7257A">
              <w:rPr>
                <w:noProof/>
                <w:webHidden/>
              </w:rPr>
              <w:fldChar w:fldCharType="separate"/>
            </w:r>
            <w:r w:rsidR="00E66C69">
              <w:rPr>
                <w:noProof/>
                <w:webHidden/>
              </w:rPr>
              <w:t>16</w:t>
            </w:r>
            <w:r w:rsidR="00D7257A">
              <w:rPr>
                <w:noProof/>
                <w:webHidden/>
              </w:rPr>
              <w:fldChar w:fldCharType="end"/>
            </w:r>
          </w:hyperlink>
        </w:p>
        <w:p w:rsidR="00D7257A" w:rsidRDefault="00473020" w:rsidP="00D7257A">
          <w:pPr>
            <w:pStyle w:val="TM3"/>
            <w:tabs>
              <w:tab w:val="left" w:pos="1320"/>
              <w:tab w:val="right" w:leader="dot" w:pos="9060"/>
            </w:tabs>
            <w:rPr>
              <w:noProof/>
            </w:rPr>
          </w:pPr>
          <w:hyperlink w:anchor="_Toc518917041" w:history="1">
            <w:r w:rsidR="00D7257A" w:rsidRPr="00D00223">
              <w:rPr>
                <w:rStyle w:val="Lienhypertexte"/>
                <w:rFonts w:eastAsia="Arial Unicode MS"/>
                <w:noProof/>
              </w:rPr>
              <w:t>4.2.1</w:t>
            </w:r>
            <w:r w:rsidR="00D7257A">
              <w:rPr>
                <w:noProof/>
              </w:rPr>
              <w:tab/>
            </w:r>
            <w:r w:rsidR="00D7257A" w:rsidRPr="00D00223">
              <w:rPr>
                <w:rStyle w:val="Lienhypertexte"/>
                <w:rFonts w:eastAsia="Arial" w:cs="Arial"/>
                <w:noProof/>
                <w:bdr w:val="nil"/>
                <w:lang w:val="nl-BE"/>
              </w:rPr>
              <w:t>Overzicht</w:t>
            </w:r>
            <w:r w:rsidR="00D7257A">
              <w:rPr>
                <w:noProof/>
                <w:webHidden/>
              </w:rPr>
              <w:tab/>
            </w:r>
            <w:r w:rsidR="00D7257A">
              <w:rPr>
                <w:noProof/>
                <w:webHidden/>
              </w:rPr>
              <w:fldChar w:fldCharType="begin"/>
            </w:r>
            <w:r w:rsidR="00D7257A">
              <w:rPr>
                <w:noProof/>
                <w:webHidden/>
              </w:rPr>
              <w:instrText xml:space="preserve"> PAGEREF _Toc518917041 \h </w:instrText>
            </w:r>
            <w:r w:rsidR="00D7257A">
              <w:rPr>
                <w:noProof/>
                <w:webHidden/>
              </w:rPr>
            </w:r>
            <w:r w:rsidR="00D7257A">
              <w:rPr>
                <w:noProof/>
                <w:webHidden/>
              </w:rPr>
              <w:fldChar w:fldCharType="separate"/>
            </w:r>
            <w:r w:rsidR="00E66C69">
              <w:rPr>
                <w:noProof/>
                <w:webHidden/>
              </w:rPr>
              <w:t>16</w:t>
            </w:r>
            <w:r w:rsidR="00D7257A">
              <w:rPr>
                <w:noProof/>
                <w:webHidden/>
              </w:rPr>
              <w:fldChar w:fldCharType="end"/>
            </w:r>
          </w:hyperlink>
        </w:p>
        <w:p w:rsidR="00D7257A" w:rsidRDefault="00473020" w:rsidP="00D7257A">
          <w:pPr>
            <w:pStyle w:val="TM3"/>
            <w:tabs>
              <w:tab w:val="left" w:pos="1320"/>
              <w:tab w:val="right" w:leader="dot" w:pos="9060"/>
            </w:tabs>
            <w:rPr>
              <w:noProof/>
            </w:rPr>
          </w:pPr>
          <w:hyperlink w:anchor="_Toc518917042" w:history="1">
            <w:r w:rsidR="00D7257A" w:rsidRPr="00D00223">
              <w:rPr>
                <w:rStyle w:val="Lienhypertexte"/>
                <w:rFonts w:eastAsia="Arial Unicode MS"/>
                <w:noProof/>
              </w:rPr>
              <w:t>4.2.2</w:t>
            </w:r>
            <w:r w:rsidR="00D7257A">
              <w:rPr>
                <w:noProof/>
              </w:rPr>
              <w:tab/>
            </w:r>
            <w:r w:rsidR="00D7257A" w:rsidRPr="00D00223">
              <w:rPr>
                <w:rStyle w:val="Lienhypertexte"/>
                <w:rFonts w:eastAsia="Arial" w:cs="Arial"/>
                <w:noProof/>
                <w:bdr w:val="nil"/>
                <w:lang w:val="nl-BE"/>
              </w:rPr>
              <w:t>Kaart van de ontwikkelingszone</w:t>
            </w:r>
            <w:r w:rsidR="00D7257A">
              <w:rPr>
                <w:noProof/>
                <w:webHidden/>
              </w:rPr>
              <w:tab/>
            </w:r>
            <w:r w:rsidR="00D7257A">
              <w:rPr>
                <w:noProof/>
                <w:webHidden/>
              </w:rPr>
              <w:fldChar w:fldCharType="begin"/>
            </w:r>
            <w:r w:rsidR="00D7257A">
              <w:rPr>
                <w:noProof/>
                <w:webHidden/>
              </w:rPr>
              <w:instrText xml:space="preserve"> PAGEREF _Toc518917042 \h </w:instrText>
            </w:r>
            <w:r w:rsidR="00D7257A">
              <w:rPr>
                <w:noProof/>
                <w:webHidden/>
              </w:rPr>
            </w:r>
            <w:r w:rsidR="00D7257A">
              <w:rPr>
                <w:noProof/>
                <w:webHidden/>
              </w:rPr>
              <w:fldChar w:fldCharType="separate"/>
            </w:r>
            <w:r w:rsidR="00E66C69">
              <w:rPr>
                <w:noProof/>
                <w:webHidden/>
              </w:rPr>
              <w:t>17</w:t>
            </w:r>
            <w:r w:rsidR="00D7257A">
              <w:rPr>
                <w:noProof/>
                <w:webHidden/>
              </w:rPr>
              <w:fldChar w:fldCharType="end"/>
            </w:r>
          </w:hyperlink>
        </w:p>
        <w:p w:rsidR="00D7257A" w:rsidRDefault="00473020" w:rsidP="00D7257A">
          <w:pPr>
            <w:pStyle w:val="TM3"/>
            <w:tabs>
              <w:tab w:val="left" w:pos="1320"/>
              <w:tab w:val="right" w:leader="dot" w:pos="9060"/>
            </w:tabs>
            <w:rPr>
              <w:noProof/>
            </w:rPr>
          </w:pPr>
          <w:hyperlink w:anchor="_Toc518917043" w:history="1">
            <w:r w:rsidR="00D7257A" w:rsidRPr="00D00223">
              <w:rPr>
                <w:rStyle w:val="Lienhypertexte"/>
                <w:rFonts w:eastAsia="Arial Unicode MS"/>
                <w:noProof/>
              </w:rPr>
              <w:t>4.2.3</w:t>
            </w:r>
            <w:r w:rsidR="00D7257A">
              <w:rPr>
                <w:noProof/>
              </w:rPr>
              <w:tab/>
            </w:r>
            <w:r w:rsidR="00D7257A" w:rsidRPr="00D00223">
              <w:rPr>
                <w:rStyle w:val="Lienhypertexte"/>
                <w:rFonts w:eastAsia="Arial" w:cs="Arial"/>
                <w:noProof/>
                <w:bdr w:val="nil"/>
                <w:lang w:val="nl-BE"/>
              </w:rPr>
              <w:t>Wettelijke basissen</w:t>
            </w:r>
            <w:r w:rsidR="00D7257A">
              <w:rPr>
                <w:noProof/>
                <w:webHidden/>
              </w:rPr>
              <w:tab/>
            </w:r>
            <w:r w:rsidR="00D7257A">
              <w:rPr>
                <w:noProof/>
                <w:webHidden/>
              </w:rPr>
              <w:fldChar w:fldCharType="begin"/>
            </w:r>
            <w:r w:rsidR="00D7257A">
              <w:rPr>
                <w:noProof/>
                <w:webHidden/>
              </w:rPr>
              <w:instrText xml:space="preserve"> PAGEREF _Toc518917043 \h </w:instrText>
            </w:r>
            <w:r w:rsidR="00D7257A">
              <w:rPr>
                <w:noProof/>
                <w:webHidden/>
              </w:rPr>
            </w:r>
            <w:r w:rsidR="00D7257A">
              <w:rPr>
                <w:noProof/>
                <w:webHidden/>
              </w:rPr>
              <w:fldChar w:fldCharType="separate"/>
            </w:r>
            <w:r w:rsidR="00E66C69">
              <w:rPr>
                <w:noProof/>
                <w:webHidden/>
              </w:rPr>
              <w:t>17</w:t>
            </w:r>
            <w:r w:rsidR="00D7257A">
              <w:rPr>
                <w:noProof/>
                <w:webHidden/>
              </w:rPr>
              <w:fldChar w:fldCharType="end"/>
            </w:r>
          </w:hyperlink>
        </w:p>
        <w:p w:rsidR="00D7257A" w:rsidRDefault="00473020" w:rsidP="00D7257A">
          <w:pPr>
            <w:pStyle w:val="TM3"/>
            <w:tabs>
              <w:tab w:val="left" w:pos="1320"/>
              <w:tab w:val="right" w:leader="dot" w:pos="9060"/>
            </w:tabs>
            <w:rPr>
              <w:noProof/>
            </w:rPr>
          </w:pPr>
          <w:hyperlink w:anchor="_Toc518917044" w:history="1">
            <w:r w:rsidR="00D7257A" w:rsidRPr="00D00223">
              <w:rPr>
                <w:rStyle w:val="Lienhypertexte"/>
                <w:rFonts w:eastAsia="Arial Unicode MS"/>
                <w:noProof/>
              </w:rPr>
              <w:t>4.2.4</w:t>
            </w:r>
            <w:r w:rsidR="00D7257A">
              <w:rPr>
                <w:noProof/>
              </w:rPr>
              <w:tab/>
            </w:r>
            <w:r w:rsidR="00D7257A" w:rsidRPr="00D00223">
              <w:rPr>
                <w:rStyle w:val="Lienhypertexte"/>
                <w:rFonts w:eastAsia="Arial" w:cs="Arial"/>
                <w:noProof/>
                <w:bdr w:val="nil"/>
                <w:lang w:val="nl-BE"/>
              </w:rPr>
              <w:t>Vaststellingen</w:t>
            </w:r>
            <w:r w:rsidR="00D7257A">
              <w:rPr>
                <w:noProof/>
                <w:webHidden/>
              </w:rPr>
              <w:tab/>
            </w:r>
            <w:r w:rsidR="00D7257A">
              <w:rPr>
                <w:noProof/>
                <w:webHidden/>
              </w:rPr>
              <w:fldChar w:fldCharType="begin"/>
            </w:r>
            <w:r w:rsidR="00D7257A">
              <w:rPr>
                <w:noProof/>
                <w:webHidden/>
              </w:rPr>
              <w:instrText xml:space="preserve"> PAGEREF _Toc518917044 \h </w:instrText>
            </w:r>
            <w:r w:rsidR="00D7257A">
              <w:rPr>
                <w:noProof/>
                <w:webHidden/>
              </w:rPr>
            </w:r>
            <w:r w:rsidR="00D7257A">
              <w:rPr>
                <w:noProof/>
                <w:webHidden/>
              </w:rPr>
              <w:fldChar w:fldCharType="separate"/>
            </w:r>
            <w:r w:rsidR="00E66C69">
              <w:rPr>
                <w:noProof/>
                <w:webHidden/>
              </w:rPr>
              <w:t>17</w:t>
            </w:r>
            <w:r w:rsidR="00D7257A">
              <w:rPr>
                <w:noProof/>
                <w:webHidden/>
              </w:rPr>
              <w:fldChar w:fldCharType="end"/>
            </w:r>
          </w:hyperlink>
        </w:p>
        <w:p w:rsidR="00D7257A" w:rsidRDefault="00473020" w:rsidP="00D7257A">
          <w:pPr>
            <w:pStyle w:val="TM3"/>
            <w:tabs>
              <w:tab w:val="left" w:pos="1320"/>
              <w:tab w:val="right" w:leader="dot" w:pos="9060"/>
            </w:tabs>
            <w:rPr>
              <w:noProof/>
            </w:rPr>
          </w:pPr>
          <w:hyperlink w:anchor="_Toc518917045" w:history="1">
            <w:r w:rsidR="00D7257A" w:rsidRPr="00D00223">
              <w:rPr>
                <w:rStyle w:val="Lienhypertexte"/>
                <w:rFonts w:eastAsia="Arial Unicode MS"/>
                <w:noProof/>
              </w:rPr>
              <w:t>4.2.5</w:t>
            </w:r>
            <w:r w:rsidR="00D7257A">
              <w:rPr>
                <w:noProof/>
              </w:rPr>
              <w:tab/>
            </w:r>
            <w:r w:rsidR="00D7257A" w:rsidRPr="00D00223">
              <w:rPr>
                <w:rStyle w:val="Lienhypertexte"/>
                <w:rFonts w:eastAsia="Arial" w:cs="Arial"/>
                <w:noProof/>
                <w:bdr w:val="nil"/>
                <w:lang w:val="nl-BE"/>
              </w:rPr>
              <w:t>Opsplitsing van de dossiers: in / buiten de ontwikkelingszone</w:t>
            </w:r>
            <w:r w:rsidR="00D7257A">
              <w:rPr>
                <w:noProof/>
                <w:webHidden/>
              </w:rPr>
              <w:tab/>
            </w:r>
            <w:r w:rsidR="00D7257A">
              <w:rPr>
                <w:noProof/>
                <w:webHidden/>
              </w:rPr>
              <w:fldChar w:fldCharType="begin"/>
            </w:r>
            <w:r w:rsidR="00D7257A">
              <w:rPr>
                <w:noProof/>
                <w:webHidden/>
              </w:rPr>
              <w:instrText xml:space="preserve"> PAGEREF _Toc518917045 \h </w:instrText>
            </w:r>
            <w:r w:rsidR="00D7257A">
              <w:rPr>
                <w:noProof/>
                <w:webHidden/>
              </w:rPr>
            </w:r>
            <w:r w:rsidR="00D7257A">
              <w:rPr>
                <w:noProof/>
                <w:webHidden/>
              </w:rPr>
              <w:fldChar w:fldCharType="separate"/>
            </w:r>
            <w:r w:rsidR="00E66C69">
              <w:rPr>
                <w:noProof/>
                <w:webHidden/>
              </w:rPr>
              <w:t>18</w:t>
            </w:r>
            <w:r w:rsidR="00D7257A">
              <w:rPr>
                <w:noProof/>
                <w:webHidden/>
              </w:rPr>
              <w:fldChar w:fldCharType="end"/>
            </w:r>
          </w:hyperlink>
        </w:p>
        <w:p w:rsidR="00D7257A" w:rsidRDefault="00473020" w:rsidP="00D7257A">
          <w:pPr>
            <w:pStyle w:val="TM3"/>
            <w:tabs>
              <w:tab w:val="left" w:pos="1320"/>
              <w:tab w:val="right" w:leader="dot" w:pos="9060"/>
            </w:tabs>
            <w:rPr>
              <w:noProof/>
            </w:rPr>
          </w:pPr>
          <w:hyperlink w:anchor="_Toc518917046" w:history="1">
            <w:r w:rsidR="00D7257A" w:rsidRPr="00D00223">
              <w:rPr>
                <w:rStyle w:val="Lienhypertexte"/>
                <w:rFonts w:eastAsia="Arial Unicode MS"/>
                <w:noProof/>
              </w:rPr>
              <w:t>4.2.6</w:t>
            </w:r>
            <w:r w:rsidR="00D7257A">
              <w:rPr>
                <w:noProof/>
              </w:rPr>
              <w:tab/>
            </w:r>
            <w:r w:rsidR="00D7257A" w:rsidRPr="00D00223">
              <w:rPr>
                <w:rStyle w:val="Lienhypertexte"/>
                <w:rFonts w:eastAsia="Arial" w:cs="Arial"/>
                <w:noProof/>
                <w:bdr w:val="nil"/>
                <w:lang w:val="nl-BE"/>
              </w:rPr>
              <w:t>Opsplitsing van de dossiers: starter (oprichting &lt; 4 jaar / niet-starter)</w:t>
            </w:r>
            <w:r w:rsidR="00D7257A">
              <w:rPr>
                <w:noProof/>
                <w:webHidden/>
              </w:rPr>
              <w:tab/>
            </w:r>
            <w:r w:rsidR="00D7257A">
              <w:rPr>
                <w:noProof/>
                <w:webHidden/>
              </w:rPr>
              <w:fldChar w:fldCharType="begin"/>
            </w:r>
            <w:r w:rsidR="00D7257A">
              <w:rPr>
                <w:noProof/>
                <w:webHidden/>
              </w:rPr>
              <w:instrText xml:space="preserve"> PAGEREF _Toc518917046 \h </w:instrText>
            </w:r>
            <w:r w:rsidR="00D7257A">
              <w:rPr>
                <w:noProof/>
                <w:webHidden/>
              </w:rPr>
            </w:r>
            <w:r w:rsidR="00D7257A">
              <w:rPr>
                <w:noProof/>
                <w:webHidden/>
              </w:rPr>
              <w:fldChar w:fldCharType="separate"/>
            </w:r>
            <w:r w:rsidR="00E66C69">
              <w:rPr>
                <w:noProof/>
                <w:webHidden/>
              </w:rPr>
              <w:t>18</w:t>
            </w:r>
            <w:r w:rsidR="00D7257A">
              <w:rPr>
                <w:noProof/>
                <w:webHidden/>
              </w:rPr>
              <w:fldChar w:fldCharType="end"/>
            </w:r>
          </w:hyperlink>
        </w:p>
        <w:p w:rsidR="00D7257A" w:rsidRDefault="00473020" w:rsidP="00D7257A">
          <w:pPr>
            <w:pStyle w:val="TM3"/>
            <w:tabs>
              <w:tab w:val="left" w:pos="1320"/>
              <w:tab w:val="right" w:leader="dot" w:pos="9060"/>
            </w:tabs>
            <w:rPr>
              <w:noProof/>
            </w:rPr>
          </w:pPr>
          <w:hyperlink w:anchor="_Toc518917047" w:history="1">
            <w:r w:rsidR="00D7257A" w:rsidRPr="00D00223">
              <w:rPr>
                <w:rStyle w:val="Lienhypertexte"/>
                <w:rFonts w:eastAsia="Arial Unicode MS"/>
                <w:noProof/>
              </w:rPr>
              <w:t>4.2.7</w:t>
            </w:r>
            <w:r w:rsidR="00D7257A">
              <w:rPr>
                <w:noProof/>
              </w:rPr>
              <w:tab/>
            </w:r>
            <w:r w:rsidR="00D7257A" w:rsidRPr="00D00223">
              <w:rPr>
                <w:rStyle w:val="Lienhypertexte"/>
                <w:rFonts w:eastAsia="Arial" w:cs="Arial"/>
                <w:noProof/>
                <w:bdr w:val="nil"/>
                <w:lang w:val="nl-BE"/>
              </w:rPr>
              <w:t>Opsplitsing van de dossiers volgens de grootte van de onderneming</w:t>
            </w:r>
            <w:r w:rsidR="00D7257A">
              <w:rPr>
                <w:noProof/>
                <w:webHidden/>
              </w:rPr>
              <w:tab/>
            </w:r>
            <w:r w:rsidR="00D7257A">
              <w:rPr>
                <w:noProof/>
                <w:webHidden/>
              </w:rPr>
              <w:fldChar w:fldCharType="begin"/>
            </w:r>
            <w:r w:rsidR="00D7257A">
              <w:rPr>
                <w:noProof/>
                <w:webHidden/>
              </w:rPr>
              <w:instrText xml:space="preserve"> PAGEREF _Toc518917047 \h </w:instrText>
            </w:r>
            <w:r w:rsidR="00D7257A">
              <w:rPr>
                <w:noProof/>
                <w:webHidden/>
              </w:rPr>
            </w:r>
            <w:r w:rsidR="00D7257A">
              <w:rPr>
                <w:noProof/>
                <w:webHidden/>
              </w:rPr>
              <w:fldChar w:fldCharType="separate"/>
            </w:r>
            <w:r w:rsidR="00E66C69">
              <w:rPr>
                <w:noProof/>
                <w:webHidden/>
              </w:rPr>
              <w:t>18</w:t>
            </w:r>
            <w:r w:rsidR="00D7257A">
              <w:rPr>
                <w:noProof/>
                <w:webHidden/>
              </w:rPr>
              <w:fldChar w:fldCharType="end"/>
            </w:r>
          </w:hyperlink>
        </w:p>
        <w:p w:rsidR="00D7257A" w:rsidRDefault="00473020" w:rsidP="00D7257A">
          <w:pPr>
            <w:pStyle w:val="TM3"/>
            <w:tabs>
              <w:tab w:val="left" w:pos="1320"/>
              <w:tab w:val="right" w:leader="dot" w:pos="9060"/>
            </w:tabs>
            <w:rPr>
              <w:noProof/>
            </w:rPr>
          </w:pPr>
          <w:hyperlink w:anchor="_Toc518917048" w:history="1">
            <w:r w:rsidR="00D7257A" w:rsidRPr="00D00223">
              <w:rPr>
                <w:rStyle w:val="Lienhypertexte"/>
                <w:rFonts w:eastAsia="Arial Unicode MS"/>
                <w:noProof/>
              </w:rPr>
              <w:t>4.2.8</w:t>
            </w:r>
            <w:r w:rsidR="00D7257A">
              <w:rPr>
                <w:noProof/>
              </w:rPr>
              <w:tab/>
            </w:r>
            <w:r w:rsidR="00D7257A" w:rsidRPr="00D00223">
              <w:rPr>
                <w:rStyle w:val="Lienhypertexte"/>
                <w:rFonts w:eastAsia="Arial" w:cs="Arial"/>
                <w:noProof/>
                <w:bdr w:val="nil"/>
                <w:lang w:val="nl-BE"/>
              </w:rPr>
              <w:t>Opsplitsing van de toegekende premies volgens de activiteitensector (NACEBEL)</w:t>
            </w:r>
            <w:r w:rsidR="00D7257A">
              <w:rPr>
                <w:noProof/>
                <w:webHidden/>
              </w:rPr>
              <w:tab/>
            </w:r>
            <w:r w:rsidR="00D7257A">
              <w:rPr>
                <w:noProof/>
                <w:webHidden/>
              </w:rPr>
              <w:fldChar w:fldCharType="begin"/>
            </w:r>
            <w:r w:rsidR="00D7257A">
              <w:rPr>
                <w:noProof/>
                <w:webHidden/>
              </w:rPr>
              <w:instrText xml:space="preserve"> PAGEREF _Toc518917048 \h </w:instrText>
            </w:r>
            <w:r w:rsidR="00D7257A">
              <w:rPr>
                <w:noProof/>
                <w:webHidden/>
              </w:rPr>
            </w:r>
            <w:r w:rsidR="00D7257A">
              <w:rPr>
                <w:noProof/>
                <w:webHidden/>
              </w:rPr>
              <w:fldChar w:fldCharType="separate"/>
            </w:r>
            <w:r w:rsidR="00E66C69">
              <w:rPr>
                <w:noProof/>
                <w:webHidden/>
              </w:rPr>
              <w:t>19</w:t>
            </w:r>
            <w:r w:rsidR="00D7257A">
              <w:rPr>
                <w:noProof/>
                <w:webHidden/>
              </w:rPr>
              <w:fldChar w:fldCharType="end"/>
            </w:r>
          </w:hyperlink>
        </w:p>
        <w:p w:rsidR="00D7257A" w:rsidRDefault="00473020" w:rsidP="00D7257A">
          <w:pPr>
            <w:pStyle w:val="TM2"/>
            <w:tabs>
              <w:tab w:val="left" w:pos="880"/>
              <w:tab w:val="right" w:leader="dot" w:pos="9060"/>
            </w:tabs>
            <w:rPr>
              <w:noProof/>
            </w:rPr>
          </w:pPr>
          <w:hyperlink w:anchor="_Toc518917049" w:history="1">
            <w:r w:rsidR="00D7257A" w:rsidRPr="00D00223">
              <w:rPr>
                <w:rStyle w:val="Lienhypertexte"/>
                <w:noProof/>
              </w:rPr>
              <w:t>4.3</w:t>
            </w:r>
            <w:r w:rsidR="00D7257A">
              <w:rPr>
                <w:noProof/>
              </w:rPr>
              <w:tab/>
            </w:r>
            <w:r w:rsidR="00D7257A" w:rsidRPr="00D00223">
              <w:rPr>
                <w:rStyle w:val="Lienhypertexte"/>
                <w:rFonts w:eastAsia="Arial" w:cs="Arial"/>
                <w:noProof/>
                <w:bdr w:val="nil"/>
                <w:lang w:val="nl-BE"/>
              </w:rPr>
              <w:t>Steun voor specifieke investeringen</w:t>
            </w:r>
            <w:r w:rsidR="00D7257A">
              <w:rPr>
                <w:noProof/>
                <w:webHidden/>
              </w:rPr>
              <w:tab/>
            </w:r>
            <w:r w:rsidR="00D7257A">
              <w:rPr>
                <w:noProof/>
                <w:webHidden/>
              </w:rPr>
              <w:fldChar w:fldCharType="begin"/>
            </w:r>
            <w:r w:rsidR="00D7257A">
              <w:rPr>
                <w:noProof/>
                <w:webHidden/>
              </w:rPr>
              <w:instrText xml:space="preserve"> PAGEREF _Toc518917049 \h </w:instrText>
            </w:r>
            <w:r w:rsidR="00D7257A">
              <w:rPr>
                <w:noProof/>
                <w:webHidden/>
              </w:rPr>
            </w:r>
            <w:r w:rsidR="00D7257A">
              <w:rPr>
                <w:noProof/>
                <w:webHidden/>
              </w:rPr>
              <w:fldChar w:fldCharType="separate"/>
            </w:r>
            <w:r w:rsidR="00E66C69">
              <w:rPr>
                <w:noProof/>
                <w:webHidden/>
              </w:rPr>
              <w:t>20</w:t>
            </w:r>
            <w:r w:rsidR="00D7257A">
              <w:rPr>
                <w:noProof/>
                <w:webHidden/>
              </w:rPr>
              <w:fldChar w:fldCharType="end"/>
            </w:r>
          </w:hyperlink>
        </w:p>
        <w:p w:rsidR="00D7257A" w:rsidRDefault="00473020" w:rsidP="00D7257A">
          <w:pPr>
            <w:pStyle w:val="TM3"/>
            <w:tabs>
              <w:tab w:val="left" w:pos="1320"/>
              <w:tab w:val="right" w:leader="dot" w:pos="9060"/>
            </w:tabs>
            <w:rPr>
              <w:noProof/>
            </w:rPr>
          </w:pPr>
          <w:hyperlink w:anchor="_Toc518917050" w:history="1">
            <w:r w:rsidR="00D7257A" w:rsidRPr="00D00223">
              <w:rPr>
                <w:rStyle w:val="Lienhypertexte"/>
                <w:rFonts w:eastAsia="Arial Unicode MS"/>
                <w:noProof/>
              </w:rPr>
              <w:t>4.3.1</w:t>
            </w:r>
            <w:r w:rsidR="00D7257A">
              <w:rPr>
                <w:noProof/>
              </w:rPr>
              <w:tab/>
            </w:r>
            <w:r w:rsidR="00D7257A" w:rsidRPr="00D00223">
              <w:rPr>
                <w:rStyle w:val="Lienhypertexte"/>
                <w:rFonts w:eastAsia="Arial" w:cs="Arial"/>
                <w:noProof/>
                <w:bdr w:val="nil"/>
                <w:lang w:val="nl-BE"/>
              </w:rPr>
              <w:t>Overzicht</w:t>
            </w:r>
            <w:r w:rsidR="00D7257A">
              <w:rPr>
                <w:noProof/>
                <w:webHidden/>
              </w:rPr>
              <w:tab/>
            </w:r>
            <w:r w:rsidR="00D7257A">
              <w:rPr>
                <w:noProof/>
                <w:webHidden/>
              </w:rPr>
              <w:fldChar w:fldCharType="begin"/>
            </w:r>
            <w:r w:rsidR="00D7257A">
              <w:rPr>
                <w:noProof/>
                <w:webHidden/>
              </w:rPr>
              <w:instrText xml:space="preserve"> PAGEREF _Toc518917050 \h </w:instrText>
            </w:r>
            <w:r w:rsidR="00D7257A">
              <w:rPr>
                <w:noProof/>
                <w:webHidden/>
              </w:rPr>
            </w:r>
            <w:r w:rsidR="00D7257A">
              <w:rPr>
                <w:noProof/>
                <w:webHidden/>
              </w:rPr>
              <w:fldChar w:fldCharType="separate"/>
            </w:r>
            <w:r w:rsidR="00E66C69">
              <w:rPr>
                <w:noProof/>
                <w:webHidden/>
              </w:rPr>
              <w:t>20</w:t>
            </w:r>
            <w:r w:rsidR="00D7257A">
              <w:rPr>
                <w:noProof/>
                <w:webHidden/>
              </w:rPr>
              <w:fldChar w:fldCharType="end"/>
            </w:r>
          </w:hyperlink>
        </w:p>
        <w:p w:rsidR="00D7257A" w:rsidRDefault="00473020" w:rsidP="00D7257A">
          <w:pPr>
            <w:pStyle w:val="TM3"/>
            <w:tabs>
              <w:tab w:val="left" w:pos="1320"/>
              <w:tab w:val="right" w:leader="dot" w:pos="9060"/>
            </w:tabs>
            <w:rPr>
              <w:noProof/>
            </w:rPr>
          </w:pPr>
          <w:hyperlink w:anchor="_Toc518917051" w:history="1">
            <w:r w:rsidR="00D7257A" w:rsidRPr="00D00223">
              <w:rPr>
                <w:rStyle w:val="Lienhypertexte"/>
                <w:rFonts w:eastAsia="Arial Unicode MS"/>
                <w:noProof/>
              </w:rPr>
              <w:t>4.3.2</w:t>
            </w:r>
            <w:r w:rsidR="00D7257A">
              <w:rPr>
                <w:noProof/>
              </w:rPr>
              <w:tab/>
            </w:r>
            <w:r w:rsidR="00D7257A" w:rsidRPr="00D00223">
              <w:rPr>
                <w:rStyle w:val="Lienhypertexte"/>
                <w:rFonts w:eastAsia="Arial" w:cs="Arial"/>
                <w:noProof/>
                <w:bdr w:val="nil"/>
                <w:lang w:val="nl-BE"/>
              </w:rPr>
              <w:t>Wettelijke basissen</w:t>
            </w:r>
            <w:r w:rsidR="00D7257A">
              <w:rPr>
                <w:noProof/>
                <w:webHidden/>
              </w:rPr>
              <w:tab/>
            </w:r>
            <w:r w:rsidR="00D7257A">
              <w:rPr>
                <w:noProof/>
                <w:webHidden/>
              </w:rPr>
              <w:fldChar w:fldCharType="begin"/>
            </w:r>
            <w:r w:rsidR="00D7257A">
              <w:rPr>
                <w:noProof/>
                <w:webHidden/>
              </w:rPr>
              <w:instrText xml:space="preserve"> PAGEREF _Toc518917051 \h </w:instrText>
            </w:r>
            <w:r w:rsidR="00D7257A">
              <w:rPr>
                <w:noProof/>
                <w:webHidden/>
              </w:rPr>
            </w:r>
            <w:r w:rsidR="00D7257A">
              <w:rPr>
                <w:noProof/>
                <w:webHidden/>
              </w:rPr>
              <w:fldChar w:fldCharType="separate"/>
            </w:r>
            <w:r w:rsidR="00E66C69">
              <w:rPr>
                <w:noProof/>
                <w:webHidden/>
              </w:rPr>
              <w:t>21</w:t>
            </w:r>
            <w:r w:rsidR="00D7257A">
              <w:rPr>
                <w:noProof/>
                <w:webHidden/>
              </w:rPr>
              <w:fldChar w:fldCharType="end"/>
            </w:r>
          </w:hyperlink>
        </w:p>
        <w:p w:rsidR="00D7257A" w:rsidRDefault="00473020" w:rsidP="00D7257A">
          <w:pPr>
            <w:pStyle w:val="TM3"/>
            <w:tabs>
              <w:tab w:val="left" w:pos="1320"/>
              <w:tab w:val="right" w:leader="dot" w:pos="9060"/>
            </w:tabs>
            <w:rPr>
              <w:noProof/>
            </w:rPr>
          </w:pPr>
          <w:hyperlink w:anchor="_Toc518917052" w:history="1">
            <w:r w:rsidR="00D7257A" w:rsidRPr="00D00223">
              <w:rPr>
                <w:rStyle w:val="Lienhypertexte"/>
                <w:rFonts w:eastAsia="Arial Unicode MS"/>
                <w:noProof/>
              </w:rPr>
              <w:t>4.3.3</w:t>
            </w:r>
            <w:r w:rsidR="00D7257A">
              <w:rPr>
                <w:noProof/>
              </w:rPr>
              <w:tab/>
            </w:r>
            <w:r w:rsidR="00D7257A" w:rsidRPr="00D00223">
              <w:rPr>
                <w:rStyle w:val="Lienhypertexte"/>
                <w:rFonts w:eastAsia="Arial" w:cs="Arial"/>
                <w:noProof/>
                <w:bdr w:val="nil"/>
                <w:lang w:val="nl-BE"/>
              </w:rPr>
              <w:t>Vaststellingen</w:t>
            </w:r>
            <w:r w:rsidR="00D7257A">
              <w:rPr>
                <w:noProof/>
                <w:webHidden/>
              </w:rPr>
              <w:tab/>
            </w:r>
            <w:r w:rsidR="00D7257A">
              <w:rPr>
                <w:noProof/>
                <w:webHidden/>
              </w:rPr>
              <w:fldChar w:fldCharType="begin"/>
            </w:r>
            <w:r w:rsidR="00D7257A">
              <w:rPr>
                <w:noProof/>
                <w:webHidden/>
              </w:rPr>
              <w:instrText xml:space="preserve"> PAGEREF _Toc518917052 \h </w:instrText>
            </w:r>
            <w:r w:rsidR="00D7257A">
              <w:rPr>
                <w:noProof/>
                <w:webHidden/>
              </w:rPr>
            </w:r>
            <w:r w:rsidR="00D7257A">
              <w:rPr>
                <w:noProof/>
                <w:webHidden/>
              </w:rPr>
              <w:fldChar w:fldCharType="separate"/>
            </w:r>
            <w:r w:rsidR="00E66C69">
              <w:rPr>
                <w:noProof/>
                <w:webHidden/>
              </w:rPr>
              <w:t>21</w:t>
            </w:r>
            <w:r w:rsidR="00D7257A">
              <w:rPr>
                <w:noProof/>
                <w:webHidden/>
              </w:rPr>
              <w:fldChar w:fldCharType="end"/>
            </w:r>
          </w:hyperlink>
        </w:p>
        <w:p w:rsidR="00D7257A" w:rsidRDefault="00473020" w:rsidP="00D7257A">
          <w:pPr>
            <w:pStyle w:val="TM3"/>
            <w:tabs>
              <w:tab w:val="left" w:pos="1320"/>
              <w:tab w:val="right" w:leader="dot" w:pos="9060"/>
            </w:tabs>
            <w:rPr>
              <w:noProof/>
            </w:rPr>
          </w:pPr>
          <w:hyperlink w:anchor="_Toc518917053" w:history="1">
            <w:r w:rsidR="00D7257A" w:rsidRPr="00D00223">
              <w:rPr>
                <w:rStyle w:val="Lienhypertexte"/>
                <w:rFonts w:eastAsia="Arial Unicode MS"/>
                <w:noProof/>
              </w:rPr>
              <w:t>4.3.4</w:t>
            </w:r>
            <w:r w:rsidR="00D7257A">
              <w:rPr>
                <w:noProof/>
              </w:rPr>
              <w:tab/>
            </w:r>
            <w:r w:rsidR="00D7257A" w:rsidRPr="00D00223">
              <w:rPr>
                <w:rStyle w:val="Lienhypertexte"/>
                <w:rFonts w:eastAsia="Arial" w:cs="Arial"/>
                <w:noProof/>
                <w:bdr w:val="nil"/>
                <w:lang w:val="nl-BE"/>
              </w:rPr>
              <w:t>Opsplitsing van de dossiers volgens de grootte van de onderneming</w:t>
            </w:r>
            <w:r w:rsidR="00D7257A">
              <w:rPr>
                <w:noProof/>
                <w:webHidden/>
              </w:rPr>
              <w:tab/>
            </w:r>
            <w:r w:rsidR="00D7257A">
              <w:rPr>
                <w:noProof/>
                <w:webHidden/>
              </w:rPr>
              <w:fldChar w:fldCharType="begin"/>
            </w:r>
            <w:r w:rsidR="00D7257A">
              <w:rPr>
                <w:noProof/>
                <w:webHidden/>
              </w:rPr>
              <w:instrText xml:space="preserve"> PAGEREF _Toc518917053 \h </w:instrText>
            </w:r>
            <w:r w:rsidR="00D7257A">
              <w:rPr>
                <w:noProof/>
                <w:webHidden/>
              </w:rPr>
            </w:r>
            <w:r w:rsidR="00D7257A">
              <w:rPr>
                <w:noProof/>
                <w:webHidden/>
              </w:rPr>
              <w:fldChar w:fldCharType="separate"/>
            </w:r>
            <w:r w:rsidR="00E66C69">
              <w:rPr>
                <w:noProof/>
                <w:webHidden/>
              </w:rPr>
              <w:t>21</w:t>
            </w:r>
            <w:r w:rsidR="00D7257A">
              <w:rPr>
                <w:noProof/>
                <w:webHidden/>
              </w:rPr>
              <w:fldChar w:fldCharType="end"/>
            </w:r>
          </w:hyperlink>
        </w:p>
        <w:p w:rsidR="00D7257A" w:rsidRDefault="00473020" w:rsidP="00D7257A">
          <w:pPr>
            <w:pStyle w:val="TM3"/>
            <w:tabs>
              <w:tab w:val="left" w:pos="1320"/>
              <w:tab w:val="right" w:leader="dot" w:pos="9060"/>
            </w:tabs>
            <w:rPr>
              <w:noProof/>
            </w:rPr>
          </w:pPr>
          <w:hyperlink w:anchor="_Toc518917054" w:history="1">
            <w:r w:rsidR="00D7257A" w:rsidRPr="00D00223">
              <w:rPr>
                <w:rStyle w:val="Lienhypertexte"/>
                <w:rFonts w:eastAsia="Arial Unicode MS"/>
                <w:noProof/>
              </w:rPr>
              <w:t>4.3.5</w:t>
            </w:r>
            <w:r w:rsidR="00D7257A">
              <w:rPr>
                <w:noProof/>
              </w:rPr>
              <w:tab/>
            </w:r>
            <w:r w:rsidR="00D7257A" w:rsidRPr="00D00223">
              <w:rPr>
                <w:rStyle w:val="Lienhypertexte"/>
                <w:rFonts w:eastAsia="Arial" w:cs="Arial"/>
                <w:noProof/>
                <w:bdr w:val="nil"/>
                <w:lang w:val="nl-BE"/>
              </w:rPr>
              <w:t>Opsplitsing van de toegekende premies volgens de activiteitensector (NACEBEL)</w:t>
            </w:r>
            <w:r w:rsidR="00D7257A">
              <w:rPr>
                <w:noProof/>
                <w:webHidden/>
              </w:rPr>
              <w:tab/>
            </w:r>
            <w:r w:rsidR="00D7257A">
              <w:rPr>
                <w:noProof/>
                <w:webHidden/>
              </w:rPr>
              <w:fldChar w:fldCharType="begin"/>
            </w:r>
            <w:r w:rsidR="00D7257A">
              <w:rPr>
                <w:noProof/>
                <w:webHidden/>
              </w:rPr>
              <w:instrText xml:space="preserve"> PAGEREF _Toc518917054 \h </w:instrText>
            </w:r>
            <w:r w:rsidR="00D7257A">
              <w:rPr>
                <w:noProof/>
                <w:webHidden/>
              </w:rPr>
            </w:r>
            <w:r w:rsidR="00D7257A">
              <w:rPr>
                <w:noProof/>
                <w:webHidden/>
              </w:rPr>
              <w:fldChar w:fldCharType="separate"/>
            </w:r>
            <w:r w:rsidR="00E66C69">
              <w:rPr>
                <w:noProof/>
                <w:webHidden/>
              </w:rPr>
              <w:t>22</w:t>
            </w:r>
            <w:r w:rsidR="00D7257A">
              <w:rPr>
                <w:noProof/>
                <w:webHidden/>
              </w:rPr>
              <w:fldChar w:fldCharType="end"/>
            </w:r>
          </w:hyperlink>
        </w:p>
        <w:p w:rsidR="00D7257A" w:rsidRDefault="00473020" w:rsidP="00D7257A">
          <w:pPr>
            <w:pStyle w:val="TM1"/>
            <w:tabs>
              <w:tab w:val="left" w:pos="440"/>
              <w:tab w:val="right" w:leader="dot" w:pos="9060"/>
            </w:tabs>
            <w:rPr>
              <w:rFonts w:asciiTheme="minorHAnsi" w:eastAsiaTheme="minorEastAsia" w:hAnsiTheme="minorHAnsi"/>
              <w:noProof/>
              <w:sz w:val="22"/>
              <w:lang w:eastAsia="fr-BE"/>
            </w:rPr>
          </w:pPr>
          <w:hyperlink w:anchor="_Toc518917055" w:history="1">
            <w:r w:rsidR="00D7257A" w:rsidRPr="00D00223">
              <w:rPr>
                <w:rStyle w:val="Lienhypertexte"/>
                <w:noProof/>
              </w:rPr>
              <w:t>5</w:t>
            </w:r>
            <w:r w:rsidR="00D7257A">
              <w:rPr>
                <w:rFonts w:asciiTheme="minorHAnsi" w:eastAsiaTheme="minorEastAsia" w:hAnsiTheme="minorHAnsi"/>
                <w:noProof/>
                <w:sz w:val="22"/>
                <w:lang w:eastAsia="fr-BE"/>
              </w:rPr>
              <w:tab/>
            </w:r>
            <w:r w:rsidR="00D7257A" w:rsidRPr="00D00223">
              <w:rPr>
                <w:rStyle w:val="Lienhypertexte"/>
                <w:rFonts w:eastAsia="Arial" w:cs="Arial"/>
                <w:noProof/>
                <w:bdr w:val="nil"/>
                <w:lang w:val="nl-BE"/>
              </w:rPr>
              <w:t>Ordonnantie van 13 januari 1994 betreffende de bevordering van de buitenlandse handel</w:t>
            </w:r>
            <w:r w:rsidR="00D7257A">
              <w:rPr>
                <w:noProof/>
                <w:webHidden/>
              </w:rPr>
              <w:tab/>
            </w:r>
            <w:r w:rsidR="00D7257A">
              <w:rPr>
                <w:noProof/>
                <w:webHidden/>
              </w:rPr>
              <w:fldChar w:fldCharType="begin"/>
            </w:r>
            <w:r w:rsidR="00D7257A">
              <w:rPr>
                <w:noProof/>
                <w:webHidden/>
              </w:rPr>
              <w:instrText xml:space="preserve"> PAGEREF _Toc518917055 \h </w:instrText>
            </w:r>
            <w:r w:rsidR="00D7257A">
              <w:rPr>
                <w:noProof/>
                <w:webHidden/>
              </w:rPr>
            </w:r>
            <w:r w:rsidR="00D7257A">
              <w:rPr>
                <w:noProof/>
                <w:webHidden/>
              </w:rPr>
              <w:fldChar w:fldCharType="separate"/>
            </w:r>
            <w:r w:rsidR="00E66C69">
              <w:rPr>
                <w:noProof/>
                <w:webHidden/>
              </w:rPr>
              <w:t>23</w:t>
            </w:r>
            <w:r w:rsidR="00D7257A">
              <w:rPr>
                <w:noProof/>
                <w:webHidden/>
              </w:rPr>
              <w:fldChar w:fldCharType="end"/>
            </w:r>
          </w:hyperlink>
        </w:p>
        <w:p w:rsidR="00D7257A" w:rsidRDefault="00473020" w:rsidP="00D7257A">
          <w:pPr>
            <w:pStyle w:val="TM3"/>
            <w:tabs>
              <w:tab w:val="left" w:pos="1320"/>
              <w:tab w:val="right" w:leader="dot" w:pos="9060"/>
            </w:tabs>
            <w:rPr>
              <w:noProof/>
            </w:rPr>
          </w:pPr>
          <w:hyperlink w:anchor="_Toc518917056" w:history="1">
            <w:r w:rsidR="00D7257A" w:rsidRPr="00D00223">
              <w:rPr>
                <w:rStyle w:val="Lienhypertexte"/>
                <w:rFonts w:eastAsia="Arial Unicode MS"/>
                <w:noProof/>
              </w:rPr>
              <w:t>5.1.1</w:t>
            </w:r>
            <w:r w:rsidR="00D7257A">
              <w:rPr>
                <w:noProof/>
              </w:rPr>
              <w:tab/>
            </w:r>
            <w:r w:rsidR="00D7257A" w:rsidRPr="00D00223">
              <w:rPr>
                <w:rStyle w:val="Lienhypertexte"/>
                <w:rFonts w:eastAsia="Arial" w:cs="Arial"/>
                <w:noProof/>
                <w:bdr w:val="nil"/>
                <w:lang w:val="nl-BE"/>
              </w:rPr>
              <w:t>Overzicht</w:t>
            </w:r>
            <w:r w:rsidR="00D7257A">
              <w:rPr>
                <w:noProof/>
                <w:webHidden/>
              </w:rPr>
              <w:tab/>
            </w:r>
            <w:r w:rsidR="00D7257A">
              <w:rPr>
                <w:noProof/>
                <w:webHidden/>
              </w:rPr>
              <w:fldChar w:fldCharType="begin"/>
            </w:r>
            <w:r w:rsidR="00D7257A">
              <w:rPr>
                <w:noProof/>
                <w:webHidden/>
              </w:rPr>
              <w:instrText xml:space="preserve"> PAGEREF _Toc518917056 \h </w:instrText>
            </w:r>
            <w:r w:rsidR="00D7257A">
              <w:rPr>
                <w:noProof/>
                <w:webHidden/>
              </w:rPr>
            </w:r>
            <w:r w:rsidR="00D7257A">
              <w:rPr>
                <w:noProof/>
                <w:webHidden/>
              </w:rPr>
              <w:fldChar w:fldCharType="separate"/>
            </w:r>
            <w:r w:rsidR="00E66C69">
              <w:rPr>
                <w:noProof/>
                <w:webHidden/>
              </w:rPr>
              <w:t>23</w:t>
            </w:r>
            <w:r w:rsidR="00D7257A">
              <w:rPr>
                <w:noProof/>
                <w:webHidden/>
              </w:rPr>
              <w:fldChar w:fldCharType="end"/>
            </w:r>
          </w:hyperlink>
        </w:p>
        <w:p w:rsidR="00D7257A" w:rsidRDefault="00473020" w:rsidP="00D7257A">
          <w:pPr>
            <w:pStyle w:val="TM3"/>
            <w:tabs>
              <w:tab w:val="left" w:pos="1320"/>
              <w:tab w:val="right" w:leader="dot" w:pos="9060"/>
            </w:tabs>
            <w:rPr>
              <w:noProof/>
            </w:rPr>
          </w:pPr>
          <w:hyperlink w:anchor="_Toc518917057" w:history="1">
            <w:r w:rsidR="00D7257A" w:rsidRPr="00D00223">
              <w:rPr>
                <w:rStyle w:val="Lienhypertexte"/>
                <w:rFonts w:eastAsia="Arial Unicode MS"/>
                <w:noProof/>
              </w:rPr>
              <w:t>5.1.2</w:t>
            </w:r>
            <w:r w:rsidR="00D7257A">
              <w:rPr>
                <w:noProof/>
              </w:rPr>
              <w:tab/>
            </w:r>
            <w:r w:rsidR="00D7257A" w:rsidRPr="00D00223">
              <w:rPr>
                <w:rStyle w:val="Lienhypertexte"/>
                <w:rFonts w:eastAsia="Arial" w:cs="Arial"/>
                <w:noProof/>
                <w:bdr w:val="nil"/>
                <w:lang w:val="nl-BE"/>
              </w:rPr>
              <w:t>Wettelijke basis</w:t>
            </w:r>
            <w:r w:rsidR="00D7257A">
              <w:rPr>
                <w:noProof/>
                <w:webHidden/>
              </w:rPr>
              <w:tab/>
            </w:r>
            <w:r w:rsidR="00D7257A">
              <w:rPr>
                <w:noProof/>
                <w:webHidden/>
              </w:rPr>
              <w:fldChar w:fldCharType="begin"/>
            </w:r>
            <w:r w:rsidR="00D7257A">
              <w:rPr>
                <w:noProof/>
                <w:webHidden/>
              </w:rPr>
              <w:instrText xml:space="preserve"> PAGEREF _Toc518917057 \h </w:instrText>
            </w:r>
            <w:r w:rsidR="00D7257A">
              <w:rPr>
                <w:noProof/>
                <w:webHidden/>
              </w:rPr>
            </w:r>
            <w:r w:rsidR="00D7257A">
              <w:rPr>
                <w:noProof/>
                <w:webHidden/>
              </w:rPr>
              <w:fldChar w:fldCharType="separate"/>
            </w:r>
            <w:r w:rsidR="00E66C69">
              <w:rPr>
                <w:noProof/>
                <w:webHidden/>
              </w:rPr>
              <w:t>24</w:t>
            </w:r>
            <w:r w:rsidR="00D7257A">
              <w:rPr>
                <w:noProof/>
                <w:webHidden/>
              </w:rPr>
              <w:fldChar w:fldCharType="end"/>
            </w:r>
          </w:hyperlink>
        </w:p>
        <w:p w:rsidR="00D7257A" w:rsidRDefault="00473020" w:rsidP="00D7257A">
          <w:pPr>
            <w:pStyle w:val="TM3"/>
            <w:tabs>
              <w:tab w:val="left" w:pos="1320"/>
              <w:tab w:val="right" w:leader="dot" w:pos="9060"/>
            </w:tabs>
            <w:rPr>
              <w:noProof/>
            </w:rPr>
          </w:pPr>
          <w:hyperlink w:anchor="_Toc518917058" w:history="1">
            <w:r w:rsidR="00D7257A" w:rsidRPr="00D00223">
              <w:rPr>
                <w:rStyle w:val="Lienhypertexte"/>
                <w:rFonts w:eastAsia="Arial Unicode MS"/>
                <w:noProof/>
              </w:rPr>
              <w:t>5.1.3</w:t>
            </w:r>
            <w:r w:rsidR="00D7257A">
              <w:rPr>
                <w:noProof/>
              </w:rPr>
              <w:tab/>
            </w:r>
            <w:r w:rsidR="00D7257A" w:rsidRPr="00D00223">
              <w:rPr>
                <w:rStyle w:val="Lienhypertexte"/>
                <w:rFonts w:eastAsia="Arial" w:cs="Arial"/>
                <w:noProof/>
                <w:bdr w:val="nil"/>
                <w:lang w:val="nl-BE"/>
              </w:rPr>
              <w:t>Vaststellingen</w:t>
            </w:r>
            <w:r w:rsidR="00D7257A">
              <w:rPr>
                <w:noProof/>
                <w:webHidden/>
              </w:rPr>
              <w:tab/>
            </w:r>
            <w:r w:rsidR="00D7257A">
              <w:rPr>
                <w:noProof/>
                <w:webHidden/>
              </w:rPr>
              <w:fldChar w:fldCharType="begin"/>
            </w:r>
            <w:r w:rsidR="00D7257A">
              <w:rPr>
                <w:noProof/>
                <w:webHidden/>
              </w:rPr>
              <w:instrText xml:space="preserve"> PAGEREF _Toc518917058 \h </w:instrText>
            </w:r>
            <w:r w:rsidR="00D7257A">
              <w:rPr>
                <w:noProof/>
                <w:webHidden/>
              </w:rPr>
            </w:r>
            <w:r w:rsidR="00D7257A">
              <w:rPr>
                <w:noProof/>
                <w:webHidden/>
              </w:rPr>
              <w:fldChar w:fldCharType="separate"/>
            </w:r>
            <w:r w:rsidR="00E66C69">
              <w:rPr>
                <w:noProof/>
                <w:webHidden/>
              </w:rPr>
              <w:t>24</w:t>
            </w:r>
            <w:r w:rsidR="00D7257A">
              <w:rPr>
                <w:noProof/>
                <w:webHidden/>
              </w:rPr>
              <w:fldChar w:fldCharType="end"/>
            </w:r>
          </w:hyperlink>
        </w:p>
        <w:p w:rsidR="00D7257A" w:rsidRDefault="00473020" w:rsidP="00D7257A">
          <w:pPr>
            <w:pStyle w:val="TM3"/>
            <w:tabs>
              <w:tab w:val="left" w:pos="1320"/>
              <w:tab w:val="right" w:leader="dot" w:pos="9060"/>
            </w:tabs>
            <w:rPr>
              <w:noProof/>
            </w:rPr>
          </w:pPr>
          <w:hyperlink w:anchor="_Toc518917059" w:history="1">
            <w:r w:rsidR="00D7257A" w:rsidRPr="00D00223">
              <w:rPr>
                <w:rStyle w:val="Lienhypertexte"/>
                <w:rFonts w:eastAsia="Arial Unicode MS"/>
                <w:noProof/>
              </w:rPr>
              <w:t>5.1.4</w:t>
            </w:r>
            <w:r w:rsidR="00D7257A">
              <w:rPr>
                <w:noProof/>
              </w:rPr>
              <w:tab/>
            </w:r>
            <w:r w:rsidR="00D7257A" w:rsidRPr="00D00223">
              <w:rPr>
                <w:rStyle w:val="Lienhypertexte"/>
                <w:rFonts w:eastAsia="Arial" w:cs="Arial"/>
                <w:noProof/>
                <w:bdr w:val="nil"/>
                <w:lang w:val="nl-BE"/>
              </w:rPr>
              <w:t>Opsplitsing van de dossiers volgens de grootte van de onderneming</w:t>
            </w:r>
            <w:r w:rsidR="00D7257A">
              <w:rPr>
                <w:noProof/>
                <w:webHidden/>
              </w:rPr>
              <w:tab/>
            </w:r>
            <w:r w:rsidR="00D7257A">
              <w:rPr>
                <w:noProof/>
                <w:webHidden/>
              </w:rPr>
              <w:fldChar w:fldCharType="begin"/>
            </w:r>
            <w:r w:rsidR="00D7257A">
              <w:rPr>
                <w:noProof/>
                <w:webHidden/>
              </w:rPr>
              <w:instrText xml:space="preserve"> PAGEREF _Toc518917059 \h </w:instrText>
            </w:r>
            <w:r w:rsidR="00D7257A">
              <w:rPr>
                <w:noProof/>
                <w:webHidden/>
              </w:rPr>
            </w:r>
            <w:r w:rsidR="00D7257A">
              <w:rPr>
                <w:noProof/>
                <w:webHidden/>
              </w:rPr>
              <w:fldChar w:fldCharType="separate"/>
            </w:r>
            <w:r w:rsidR="00E66C69">
              <w:rPr>
                <w:noProof/>
                <w:webHidden/>
              </w:rPr>
              <w:t>24</w:t>
            </w:r>
            <w:r w:rsidR="00D7257A">
              <w:rPr>
                <w:noProof/>
                <w:webHidden/>
              </w:rPr>
              <w:fldChar w:fldCharType="end"/>
            </w:r>
          </w:hyperlink>
        </w:p>
        <w:p w:rsidR="00D7257A" w:rsidRDefault="00473020" w:rsidP="00D7257A">
          <w:pPr>
            <w:pStyle w:val="TM3"/>
            <w:tabs>
              <w:tab w:val="left" w:pos="1320"/>
              <w:tab w:val="right" w:leader="dot" w:pos="9060"/>
            </w:tabs>
            <w:rPr>
              <w:noProof/>
            </w:rPr>
          </w:pPr>
          <w:hyperlink w:anchor="_Toc518917060" w:history="1">
            <w:r w:rsidR="00D7257A" w:rsidRPr="00D00223">
              <w:rPr>
                <w:rStyle w:val="Lienhypertexte"/>
                <w:rFonts w:eastAsia="Arial Unicode MS"/>
                <w:noProof/>
              </w:rPr>
              <w:t>5.1.5</w:t>
            </w:r>
            <w:r w:rsidR="00D7257A">
              <w:rPr>
                <w:noProof/>
              </w:rPr>
              <w:tab/>
            </w:r>
            <w:r w:rsidR="00D7257A" w:rsidRPr="00D00223">
              <w:rPr>
                <w:rStyle w:val="Lienhypertexte"/>
                <w:rFonts w:eastAsia="Arial" w:cs="Arial"/>
                <w:noProof/>
                <w:bdr w:val="nil"/>
                <w:lang w:val="nl-BE"/>
              </w:rPr>
              <w:t>Opsplitsing van de toegekende premies volgens de activiteitensector (NACEBEL)</w:t>
            </w:r>
            <w:r w:rsidR="00D7257A">
              <w:rPr>
                <w:noProof/>
                <w:webHidden/>
              </w:rPr>
              <w:tab/>
            </w:r>
            <w:r w:rsidR="00D7257A">
              <w:rPr>
                <w:noProof/>
                <w:webHidden/>
              </w:rPr>
              <w:fldChar w:fldCharType="begin"/>
            </w:r>
            <w:r w:rsidR="00D7257A">
              <w:rPr>
                <w:noProof/>
                <w:webHidden/>
              </w:rPr>
              <w:instrText xml:space="preserve"> PAGEREF _Toc518917060 \h </w:instrText>
            </w:r>
            <w:r w:rsidR="00D7257A">
              <w:rPr>
                <w:noProof/>
                <w:webHidden/>
              </w:rPr>
            </w:r>
            <w:r w:rsidR="00D7257A">
              <w:rPr>
                <w:noProof/>
                <w:webHidden/>
              </w:rPr>
              <w:fldChar w:fldCharType="separate"/>
            </w:r>
            <w:r w:rsidR="00E66C69">
              <w:rPr>
                <w:noProof/>
                <w:webHidden/>
              </w:rPr>
              <w:t>25</w:t>
            </w:r>
            <w:r w:rsidR="00D7257A">
              <w:rPr>
                <w:noProof/>
                <w:webHidden/>
              </w:rPr>
              <w:fldChar w:fldCharType="end"/>
            </w:r>
          </w:hyperlink>
        </w:p>
        <w:p w:rsidR="00D7257A" w:rsidRDefault="00473020" w:rsidP="00D7257A">
          <w:pPr>
            <w:pStyle w:val="TM1"/>
            <w:tabs>
              <w:tab w:val="left" w:pos="440"/>
              <w:tab w:val="right" w:leader="dot" w:pos="9060"/>
            </w:tabs>
            <w:rPr>
              <w:rFonts w:asciiTheme="minorHAnsi" w:eastAsiaTheme="minorEastAsia" w:hAnsiTheme="minorHAnsi"/>
              <w:noProof/>
              <w:sz w:val="22"/>
              <w:lang w:eastAsia="fr-BE"/>
            </w:rPr>
          </w:pPr>
          <w:hyperlink w:anchor="_Toc518917061" w:history="1">
            <w:r w:rsidR="00D7257A" w:rsidRPr="00D00223">
              <w:rPr>
                <w:rStyle w:val="Lienhypertexte"/>
                <w:noProof/>
              </w:rPr>
              <w:t>6</w:t>
            </w:r>
            <w:r w:rsidR="00D7257A">
              <w:rPr>
                <w:rFonts w:asciiTheme="minorHAnsi" w:eastAsiaTheme="minorEastAsia" w:hAnsiTheme="minorHAnsi"/>
                <w:noProof/>
                <w:sz w:val="22"/>
                <w:lang w:eastAsia="fr-BE"/>
              </w:rPr>
              <w:tab/>
            </w:r>
            <w:r w:rsidR="00D7257A" w:rsidRPr="00D00223">
              <w:rPr>
                <w:rStyle w:val="Lienhypertexte"/>
                <w:rFonts w:eastAsia="Arial" w:cs="Arial"/>
                <w:noProof/>
                <w:bdr w:val="nil"/>
                <w:lang w:val="nl-BE"/>
              </w:rPr>
              <w:t>Wet van 3 december 2005 betreffende de uitkering van een inkomenscompensatievergoeding aan zelfstandigen</w:t>
            </w:r>
            <w:r w:rsidR="00D7257A">
              <w:rPr>
                <w:noProof/>
                <w:webHidden/>
              </w:rPr>
              <w:tab/>
            </w:r>
            <w:r w:rsidR="00D7257A">
              <w:rPr>
                <w:noProof/>
                <w:webHidden/>
              </w:rPr>
              <w:fldChar w:fldCharType="begin"/>
            </w:r>
            <w:r w:rsidR="00D7257A">
              <w:rPr>
                <w:noProof/>
                <w:webHidden/>
              </w:rPr>
              <w:instrText xml:space="preserve"> PAGEREF _Toc518917061 \h </w:instrText>
            </w:r>
            <w:r w:rsidR="00D7257A">
              <w:rPr>
                <w:noProof/>
                <w:webHidden/>
              </w:rPr>
            </w:r>
            <w:r w:rsidR="00D7257A">
              <w:rPr>
                <w:noProof/>
                <w:webHidden/>
              </w:rPr>
              <w:fldChar w:fldCharType="separate"/>
            </w:r>
            <w:r w:rsidR="00E66C69">
              <w:rPr>
                <w:noProof/>
                <w:webHidden/>
              </w:rPr>
              <w:t>26</w:t>
            </w:r>
            <w:r w:rsidR="00D7257A">
              <w:rPr>
                <w:noProof/>
                <w:webHidden/>
              </w:rPr>
              <w:fldChar w:fldCharType="end"/>
            </w:r>
          </w:hyperlink>
        </w:p>
        <w:p w:rsidR="00D7257A" w:rsidRDefault="00473020" w:rsidP="00D7257A">
          <w:pPr>
            <w:pStyle w:val="TM1"/>
            <w:tabs>
              <w:tab w:val="left" w:pos="440"/>
              <w:tab w:val="right" w:leader="dot" w:pos="9060"/>
            </w:tabs>
            <w:rPr>
              <w:rFonts w:asciiTheme="minorHAnsi" w:eastAsiaTheme="minorEastAsia" w:hAnsiTheme="minorHAnsi"/>
              <w:noProof/>
              <w:sz w:val="22"/>
              <w:lang w:eastAsia="fr-BE"/>
            </w:rPr>
          </w:pPr>
          <w:hyperlink w:anchor="_Toc518917062" w:history="1">
            <w:r w:rsidR="00D7257A" w:rsidRPr="00D00223">
              <w:rPr>
                <w:rStyle w:val="Lienhypertexte"/>
                <w:noProof/>
              </w:rPr>
              <w:t>7</w:t>
            </w:r>
            <w:r w:rsidR="00D7257A">
              <w:rPr>
                <w:rFonts w:asciiTheme="minorHAnsi" w:eastAsiaTheme="minorEastAsia" w:hAnsiTheme="minorHAnsi"/>
                <w:noProof/>
                <w:sz w:val="22"/>
                <w:lang w:eastAsia="fr-BE"/>
              </w:rPr>
              <w:tab/>
            </w:r>
            <w:r w:rsidR="00D7257A" w:rsidRPr="00D00223">
              <w:rPr>
                <w:rStyle w:val="Lienhypertexte"/>
                <w:rFonts w:eastAsia="Arial" w:cs="Arial"/>
                <w:noProof/>
                <w:bdr w:val="nil"/>
                <w:lang w:val="nl-BE"/>
              </w:rPr>
              <w:t>Conclusie</w:t>
            </w:r>
            <w:r w:rsidR="00D7257A">
              <w:rPr>
                <w:noProof/>
                <w:webHidden/>
              </w:rPr>
              <w:tab/>
            </w:r>
            <w:r w:rsidR="00D7257A">
              <w:rPr>
                <w:noProof/>
                <w:webHidden/>
              </w:rPr>
              <w:fldChar w:fldCharType="begin"/>
            </w:r>
            <w:r w:rsidR="00D7257A">
              <w:rPr>
                <w:noProof/>
                <w:webHidden/>
              </w:rPr>
              <w:instrText xml:space="preserve"> PAGEREF _Toc518917062 \h </w:instrText>
            </w:r>
            <w:r w:rsidR="00D7257A">
              <w:rPr>
                <w:noProof/>
                <w:webHidden/>
              </w:rPr>
            </w:r>
            <w:r w:rsidR="00D7257A">
              <w:rPr>
                <w:noProof/>
                <w:webHidden/>
              </w:rPr>
              <w:fldChar w:fldCharType="separate"/>
            </w:r>
            <w:r w:rsidR="00E66C69">
              <w:rPr>
                <w:noProof/>
                <w:webHidden/>
              </w:rPr>
              <w:t>27</w:t>
            </w:r>
            <w:r w:rsidR="00D7257A">
              <w:rPr>
                <w:noProof/>
                <w:webHidden/>
              </w:rPr>
              <w:fldChar w:fldCharType="end"/>
            </w:r>
          </w:hyperlink>
        </w:p>
        <w:p w:rsidR="00D7257A" w:rsidRDefault="00473020" w:rsidP="00D7257A">
          <w:pPr>
            <w:pStyle w:val="TM1"/>
            <w:tabs>
              <w:tab w:val="left" w:pos="440"/>
              <w:tab w:val="right" w:leader="dot" w:pos="9060"/>
            </w:tabs>
            <w:rPr>
              <w:rFonts w:asciiTheme="minorHAnsi" w:eastAsiaTheme="minorEastAsia" w:hAnsiTheme="minorHAnsi"/>
              <w:noProof/>
              <w:sz w:val="22"/>
              <w:lang w:eastAsia="fr-BE"/>
            </w:rPr>
          </w:pPr>
          <w:hyperlink w:anchor="_Toc518917063" w:history="1">
            <w:r w:rsidR="00D7257A" w:rsidRPr="00D00223">
              <w:rPr>
                <w:rStyle w:val="Lienhypertexte"/>
                <w:noProof/>
              </w:rPr>
              <w:t>8</w:t>
            </w:r>
            <w:r w:rsidR="00D7257A">
              <w:rPr>
                <w:rFonts w:asciiTheme="minorHAnsi" w:eastAsiaTheme="minorEastAsia" w:hAnsiTheme="minorHAnsi"/>
                <w:noProof/>
                <w:sz w:val="22"/>
                <w:lang w:eastAsia="fr-BE"/>
              </w:rPr>
              <w:tab/>
            </w:r>
            <w:r w:rsidR="00D7257A" w:rsidRPr="00D00223">
              <w:rPr>
                <w:rStyle w:val="Lienhypertexte"/>
                <w:rFonts w:eastAsia="Arial" w:cs="Arial"/>
                <w:noProof/>
                <w:bdr w:val="nil"/>
                <w:lang w:val="nl-BE"/>
              </w:rPr>
              <w:t>Bijlage: grootte van de ondernemingen en NACE BEL-codes</w:t>
            </w:r>
            <w:r w:rsidR="00D7257A">
              <w:rPr>
                <w:noProof/>
                <w:webHidden/>
              </w:rPr>
              <w:tab/>
            </w:r>
            <w:r w:rsidR="00D7257A">
              <w:rPr>
                <w:noProof/>
                <w:webHidden/>
              </w:rPr>
              <w:fldChar w:fldCharType="begin"/>
            </w:r>
            <w:r w:rsidR="00D7257A">
              <w:rPr>
                <w:noProof/>
                <w:webHidden/>
              </w:rPr>
              <w:instrText xml:space="preserve"> PAGEREF _Toc518917063 \h </w:instrText>
            </w:r>
            <w:r w:rsidR="00D7257A">
              <w:rPr>
                <w:noProof/>
                <w:webHidden/>
              </w:rPr>
            </w:r>
            <w:r w:rsidR="00D7257A">
              <w:rPr>
                <w:noProof/>
                <w:webHidden/>
              </w:rPr>
              <w:fldChar w:fldCharType="separate"/>
            </w:r>
            <w:r w:rsidR="00E66C69">
              <w:rPr>
                <w:noProof/>
                <w:webHidden/>
              </w:rPr>
              <w:t>28</w:t>
            </w:r>
            <w:r w:rsidR="00D7257A">
              <w:rPr>
                <w:noProof/>
                <w:webHidden/>
              </w:rPr>
              <w:fldChar w:fldCharType="end"/>
            </w:r>
          </w:hyperlink>
        </w:p>
        <w:p w:rsidR="00D7257A" w:rsidRDefault="00473020" w:rsidP="00D7257A">
          <w:pPr>
            <w:pStyle w:val="TM2"/>
            <w:tabs>
              <w:tab w:val="left" w:pos="880"/>
              <w:tab w:val="right" w:leader="dot" w:pos="9060"/>
            </w:tabs>
            <w:rPr>
              <w:noProof/>
            </w:rPr>
          </w:pPr>
          <w:hyperlink w:anchor="_Toc518917064" w:history="1">
            <w:r w:rsidR="00D7257A" w:rsidRPr="00D00223">
              <w:rPr>
                <w:rStyle w:val="Lienhypertexte"/>
                <w:rFonts w:eastAsia="Arial Unicode MS"/>
                <w:noProof/>
              </w:rPr>
              <w:t>8.1</w:t>
            </w:r>
            <w:r w:rsidR="00D7257A">
              <w:rPr>
                <w:noProof/>
              </w:rPr>
              <w:tab/>
            </w:r>
            <w:r w:rsidR="00D7257A" w:rsidRPr="00D00223">
              <w:rPr>
                <w:rStyle w:val="Lienhypertexte"/>
                <w:rFonts w:eastAsia="Arial" w:cs="Arial"/>
                <w:noProof/>
                <w:bdr w:val="nil"/>
                <w:lang w:val="nl-BE"/>
              </w:rPr>
              <w:t>Bepaling van de grootte van ondernemingen</w:t>
            </w:r>
            <w:r w:rsidR="00D7257A">
              <w:rPr>
                <w:noProof/>
                <w:webHidden/>
              </w:rPr>
              <w:tab/>
            </w:r>
            <w:r w:rsidR="00D7257A">
              <w:rPr>
                <w:noProof/>
                <w:webHidden/>
              </w:rPr>
              <w:fldChar w:fldCharType="begin"/>
            </w:r>
            <w:r w:rsidR="00D7257A">
              <w:rPr>
                <w:noProof/>
                <w:webHidden/>
              </w:rPr>
              <w:instrText xml:space="preserve"> PAGEREF _Toc518917064 \h </w:instrText>
            </w:r>
            <w:r w:rsidR="00D7257A">
              <w:rPr>
                <w:noProof/>
                <w:webHidden/>
              </w:rPr>
            </w:r>
            <w:r w:rsidR="00D7257A">
              <w:rPr>
                <w:noProof/>
                <w:webHidden/>
              </w:rPr>
              <w:fldChar w:fldCharType="separate"/>
            </w:r>
            <w:r w:rsidR="00E66C69">
              <w:rPr>
                <w:noProof/>
                <w:webHidden/>
              </w:rPr>
              <w:t>28</w:t>
            </w:r>
            <w:r w:rsidR="00D7257A">
              <w:rPr>
                <w:noProof/>
                <w:webHidden/>
              </w:rPr>
              <w:fldChar w:fldCharType="end"/>
            </w:r>
          </w:hyperlink>
        </w:p>
        <w:p w:rsidR="00D7257A" w:rsidRDefault="00473020" w:rsidP="00D7257A">
          <w:pPr>
            <w:pStyle w:val="TM2"/>
            <w:tabs>
              <w:tab w:val="left" w:pos="880"/>
              <w:tab w:val="right" w:leader="dot" w:pos="9060"/>
            </w:tabs>
            <w:rPr>
              <w:noProof/>
            </w:rPr>
          </w:pPr>
          <w:hyperlink w:anchor="_Toc518917065" w:history="1">
            <w:r w:rsidR="00D7257A" w:rsidRPr="00D00223">
              <w:rPr>
                <w:rStyle w:val="Lienhypertexte"/>
                <w:rFonts w:eastAsia="Arial Unicode MS"/>
                <w:noProof/>
              </w:rPr>
              <w:t>8.2</w:t>
            </w:r>
            <w:r w:rsidR="00D7257A">
              <w:rPr>
                <w:noProof/>
              </w:rPr>
              <w:tab/>
            </w:r>
            <w:r w:rsidR="00D7257A" w:rsidRPr="00D00223">
              <w:rPr>
                <w:rStyle w:val="Lienhypertexte"/>
                <w:rFonts w:eastAsia="Arial" w:cs="Arial"/>
                <w:noProof/>
                <w:bdr w:val="nil"/>
                <w:lang w:val="nl-BE"/>
              </w:rPr>
              <w:t>NACEBEL-activiteitensector</w:t>
            </w:r>
            <w:r w:rsidR="00D7257A">
              <w:rPr>
                <w:noProof/>
                <w:webHidden/>
              </w:rPr>
              <w:tab/>
            </w:r>
            <w:r w:rsidR="00D7257A">
              <w:rPr>
                <w:noProof/>
                <w:webHidden/>
              </w:rPr>
              <w:fldChar w:fldCharType="begin"/>
            </w:r>
            <w:r w:rsidR="00D7257A">
              <w:rPr>
                <w:noProof/>
                <w:webHidden/>
              </w:rPr>
              <w:instrText xml:space="preserve"> PAGEREF _Toc518917065 \h </w:instrText>
            </w:r>
            <w:r w:rsidR="00D7257A">
              <w:rPr>
                <w:noProof/>
                <w:webHidden/>
              </w:rPr>
            </w:r>
            <w:r w:rsidR="00D7257A">
              <w:rPr>
                <w:noProof/>
                <w:webHidden/>
              </w:rPr>
              <w:fldChar w:fldCharType="separate"/>
            </w:r>
            <w:r w:rsidR="00E66C69">
              <w:rPr>
                <w:noProof/>
                <w:webHidden/>
              </w:rPr>
              <w:t>29</w:t>
            </w:r>
            <w:r w:rsidR="00D7257A">
              <w:rPr>
                <w:noProof/>
                <w:webHidden/>
              </w:rPr>
              <w:fldChar w:fldCharType="end"/>
            </w:r>
          </w:hyperlink>
        </w:p>
        <w:p w:rsidR="00D7257A" w:rsidRDefault="00D7257A" w:rsidP="00D7257A">
          <w:r>
            <w:rPr>
              <w:b/>
              <w:bCs/>
              <w:lang w:val="fr-FR"/>
            </w:rPr>
            <w:fldChar w:fldCharType="end"/>
          </w:r>
        </w:p>
      </w:sdtContent>
    </w:sdt>
    <w:p w:rsidR="00D7257A" w:rsidRDefault="00D7257A" w:rsidP="00D7257A">
      <w:pPr>
        <w:jc w:val="left"/>
      </w:pPr>
    </w:p>
    <w:p w:rsidR="00D7257A" w:rsidRDefault="00D7257A" w:rsidP="00D7257A">
      <w:pPr>
        <w:jc w:val="left"/>
      </w:pPr>
    </w:p>
    <w:p w:rsidR="00D7257A" w:rsidRDefault="00D7257A" w:rsidP="00D7257A">
      <w:pPr>
        <w:jc w:val="left"/>
      </w:pPr>
    </w:p>
    <w:p w:rsidR="00D7257A" w:rsidRDefault="00D7257A" w:rsidP="00D7257A">
      <w:pPr>
        <w:jc w:val="left"/>
      </w:pPr>
    </w:p>
    <w:p w:rsidR="00D7257A" w:rsidRDefault="00D7257A" w:rsidP="00D7257A">
      <w:pPr>
        <w:jc w:val="left"/>
      </w:pPr>
    </w:p>
    <w:p w:rsidR="00D7257A" w:rsidRDefault="00D7257A" w:rsidP="00D7257A">
      <w:pPr>
        <w:jc w:val="left"/>
      </w:pPr>
    </w:p>
    <w:p w:rsidR="00D7257A" w:rsidRDefault="00D7257A" w:rsidP="00D7257A">
      <w:pPr>
        <w:jc w:val="left"/>
      </w:pPr>
    </w:p>
    <w:p w:rsidR="00D7257A" w:rsidRDefault="00D7257A" w:rsidP="00D7257A">
      <w:pPr>
        <w:jc w:val="left"/>
      </w:pPr>
    </w:p>
    <w:p w:rsidR="00D7257A" w:rsidRDefault="00D7257A" w:rsidP="00D7257A">
      <w:pPr>
        <w:jc w:val="left"/>
      </w:pPr>
    </w:p>
    <w:p w:rsidR="00D7257A" w:rsidRDefault="00D7257A" w:rsidP="00D7257A">
      <w:pPr>
        <w:jc w:val="left"/>
      </w:pPr>
    </w:p>
    <w:p w:rsidR="00D7257A" w:rsidRPr="00D937AC" w:rsidRDefault="00D7257A" w:rsidP="00D7257A">
      <w:pPr>
        <w:jc w:val="left"/>
        <w:rPr>
          <w:b/>
        </w:rPr>
      </w:pPr>
      <w:r>
        <w:rPr>
          <w:rFonts w:eastAsia="Arial" w:cs="Arial"/>
          <w:b/>
          <w:bCs/>
          <w:szCs w:val="20"/>
          <w:bdr w:val="nil"/>
          <w:lang w:val="nl-BE"/>
        </w:rPr>
        <w:t>Informatie:</w:t>
      </w:r>
    </w:p>
    <w:p w:rsidR="00D7257A" w:rsidRDefault="00D7257A" w:rsidP="00D7257A">
      <w:pPr>
        <w:jc w:val="left"/>
      </w:pPr>
      <w:r>
        <w:rPr>
          <w:rFonts w:eastAsia="Arial" w:cs="Arial"/>
          <w:szCs w:val="20"/>
          <w:bdr w:val="nil"/>
          <w:lang w:val="nl-BE"/>
        </w:rPr>
        <w:t>Tel. : 02 800 34 86</w:t>
      </w:r>
    </w:p>
    <w:p w:rsidR="00D7257A" w:rsidRDefault="00473020" w:rsidP="00D7257A">
      <w:pPr>
        <w:jc w:val="left"/>
      </w:pPr>
      <w:hyperlink r:id="rId9" w:history="1">
        <w:r w:rsidR="00D7257A">
          <w:rPr>
            <w:rFonts w:eastAsia="Arial" w:cs="Arial"/>
            <w:color w:val="0000FF"/>
            <w:szCs w:val="20"/>
            <w:u w:val="single"/>
            <w:bdr w:val="nil"/>
            <w:lang w:val="nl-BE"/>
          </w:rPr>
          <w:t>criviere@gob.brussels</w:t>
        </w:r>
      </w:hyperlink>
      <w:r w:rsidR="00D7257A">
        <w:rPr>
          <w:rFonts w:eastAsia="Arial" w:cs="Arial"/>
          <w:szCs w:val="20"/>
          <w:bdr w:val="nil"/>
          <w:lang w:val="nl-BE"/>
        </w:rPr>
        <w:t xml:space="preserve"> </w:t>
      </w:r>
    </w:p>
    <w:p w:rsidR="00D7257A" w:rsidRDefault="00D7257A" w:rsidP="00D7257A">
      <w:pPr>
        <w:jc w:val="left"/>
        <w:rPr>
          <w:rFonts w:eastAsiaTheme="majorEastAsia" w:cstheme="majorBidi"/>
          <w:b/>
          <w:bCs/>
          <w:color w:val="0A00BE"/>
          <w:sz w:val="28"/>
          <w:szCs w:val="28"/>
        </w:rPr>
      </w:pPr>
      <w:r>
        <w:br w:type="page"/>
      </w:r>
    </w:p>
    <w:p w:rsidR="00D7257A" w:rsidRDefault="00D7257A" w:rsidP="00D7257A">
      <w:pPr>
        <w:pStyle w:val="Titre1"/>
        <w:numPr>
          <w:ilvl w:val="0"/>
          <w:numId w:val="1"/>
        </w:numPr>
      </w:pPr>
      <w:bookmarkStart w:id="7" w:name="_Toc518917029"/>
      <w:r>
        <w:rPr>
          <w:rFonts w:eastAsia="Arial" w:cs="Arial"/>
          <w:bdr w:val="nil"/>
          <w:lang w:val="nl-BE"/>
        </w:rPr>
        <w:lastRenderedPageBreak/>
        <w:t>Inleiding</w:t>
      </w:r>
      <w:bookmarkEnd w:id="7"/>
    </w:p>
    <w:p w:rsidR="00D7257A" w:rsidRPr="00A22E25" w:rsidRDefault="00D7257A" w:rsidP="00D7257A">
      <w:pPr>
        <w:rPr>
          <w:lang w:val="nl-BE"/>
        </w:rPr>
      </w:pPr>
      <w:r>
        <w:rPr>
          <w:rFonts w:eastAsia="Arial" w:cs="Arial"/>
          <w:szCs w:val="20"/>
          <w:bdr w:val="nil"/>
          <w:lang w:val="nl-BE"/>
        </w:rPr>
        <w:t>Dit document bevat verschillende delen waaronder:</w:t>
      </w:r>
    </w:p>
    <w:p w:rsidR="00D7257A" w:rsidRPr="00A22E25" w:rsidRDefault="00D7257A" w:rsidP="00D7257A">
      <w:pPr>
        <w:pStyle w:val="Paragraphedeliste"/>
        <w:numPr>
          <w:ilvl w:val="0"/>
          <w:numId w:val="4"/>
        </w:numPr>
        <w:rPr>
          <w:lang w:val="nl-BE"/>
        </w:rPr>
      </w:pPr>
      <w:r>
        <w:rPr>
          <w:rFonts w:eastAsia="Arial" w:cs="Arial"/>
          <w:szCs w:val="20"/>
          <w:bdr w:val="nil"/>
          <w:lang w:val="nl-BE"/>
        </w:rPr>
        <w:t>Een voorstelling van de directie Steun aan Ondernemingen (DSO);</w:t>
      </w:r>
    </w:p>
    <w:p w:rsidR="00D7257A" w:rsidRPr="00A22E25" w:rsidRDefault="00D7257A" w:rsidP="00D7257A">
      <w:pPr>
        <w:pStyle w:val="Paragraphedeliste"/>
        <w:numPr>
          <w:ilvl w:val="0"/>
          <w:numId w:val="4"/>
        </w:numPr>
        <w:rPr>
          <w:lang w:val="nl-BE"/>
        </w:rPr>
      </w:pPr>
      <w:r>
        <w:rPr>
          <w:rFonts w:eastAsia="Arial" w:cs="Arial"/>
          <w:szCs w:val="20"/>
          <w:bdr w:val="nil"/>
          <w:lang w:val="nl-BE"/>
        </w:rPr>
        <w:t>Een overzicht van de door de DSO beheerde dossiers;</w:t>
      </w:r>
    </w:p>
    <w:p w:rsidR="00D7257A" w:rsidRPr="00A22E25" w:rsidRDefault="00D7257A" w:rsidP="00D7257A">
      <w:pPr>
        <w:pStyle w:val="Paragraphedeliste"/>
        <w:numPr>
          <w:ilvl w:val="0"/>
          <w:numId w:val="4"/>
        </w:numPr>
        <w:rPr>
          <w:lang w:val="nl-BE"/>
        </w:rPr>
      </w:pPr>
      <w:r>
        <w:rPr>
          <w:rFonts w:eastAsia="Arial" w:cs="Arial"/>
          <w:szCs w:val="20"/>
          <w:bdr w:val="nil"/>
          <w:lang w:val="nl-BE"/>
        </w:rPr>
        <w:t>Een gedetailleerd verslag van de volgens de behandelde materies gevraagde steun;</w:t>
      </w:r>
    </w:p>
    <w:p w:rsidR="00D7257A" w:rsidRDefault="00D7257A" w:rsidP="00D7257A">
      <w:pPr>
        <w:pStyle w:val="Paragraphedeliste"/>
        <w:numPr>
          <w:ilvl w:val="0"/>
          <w:numId w:val="4"/>
        </w:numPr>
      </w:pPr>
      <w:r>
        <w:rPr>
          <w:rFonts w:eastAsia="Arial" w:cs="Arial"/>
          <w:szCs w:val="20"/>
          <w:bdr w:val="nil"/>
          <w:lang w:val="nl-BE"/>
        </w:rPr>
        <w:t>Een algemene conclusie.</w:t>
      </w:r>
    </w:p>
    <w:p w:rsidR="00D7257A" w:rsidRPr="00A22E25" w:rsidRDefault="00D7257A" w:rsidP="00D7257A">
      <w:pPr>
        <w:rPr>
          <w:lang w:val="nl-BE"/>
        </w:rPr>
      </w:pPr>
      <w:r>
        <w:rPr>
          <w:rFonts w:eastAsia="Arial" w:cs="Arial"/>
          <w:szCs w:val="20"/>
          <w:bdr w:val="nil"/>
          <w:lang w:val="nl-BE"/>
        </w:rPr>
        <w:t>Achteraan in het document zitten er bijlagen met definities die het lezen vergemakkelijken.</w:t>
      </w:r>
    </w:p>
    <w:p w:rsidR="00D7257A" w:rsidRPr="00A22E25" w:rsidRDefault="00D7257A" w:rsidP="00D7257A">
      <w:pPr>
        <w:jc w:val="left"/>
        <w:rPr>
          <w:lang w:val="nl-BE"/>
        </w:rPr>
      </w:pPr>
      <w:r w:rsidRPr="00A22E25">
        <w:rPr>
          <w:lang w:val="nl-BE"/>
        </w:rPr>
        <w:br w:type="page"/>
      </w:r>
    </w:p>
    <w:p w:rsidR="00D7257A" w:rsidRDefault="00D7257A" w:rsidP="00D7257A">
      <w:pPr>
        <w:pStyle w:val="Titre1"/>
        <w:numPr>
          <w:ilvl w:val="0"/>
          <w:numId w:val="1"/>
        </w:numPr>
      </w:pPr>
      <w:bookmarkStart w:id="8" w:name="_Toc518917030"/>
      <w:r>
        <w:rPr>
          <w:rFonts w:eastAsia="Arial" w:cs="Arial"/>
          <w:bdr w:val="nil"/>
          <w:lang w:val="nl-BE"/>
        </w:rPr>
        <w:lastRenderedPageBreak/>
        <w:t>Voorstelling van de directie</w:t>
      </w:r>
      <w:bookmarkEnd w:id="8"/>
    </w:p>
    <w:p w:rsidR="00D7257A" w:rsidRDefault="00D7257A" w:rsidP="00D7257A">
      <w:pPr>
        <w:pStyle w:val="Titre2"/>
        <w:numPr>
          <w:ilvl w:val="1"/>
          <w:numId w:val="1"/>
        </w:numPr>
      </w:pPr>
      <w:bookmarkStart w:id="9" w:name="_Toc481048799"/>
      <w:bookmarkStart w:id="10" w:name="_Toc518917031"/>
      <w:r>
        <w:rPr>
          <w:rFonts w:eastAsia="Arial" w:cs="Arial"/>
          <w:bdr w:val="nil"/>
          <w:lang w:val="nl-BE"/>
        </w:rPr>
        <w:t>Personeelssterkte (op 31/12/2017)</w:t>
      </w:r>
      <w:bookmarkEnd w:id="9"/>
      <w:bookmarkEnd w:id="10"/>
    </w:p>
    <w:p w:rsidR="00D7257A" w:rsidRPr="00A22E25" w:rsidRDefault="00D7257A" w:rsidP="00D7257A">
      <w:pPr>
        <w:rPr>
          <w:lang w:val="nl-BE"/>
        </w:rPr>
      </w:pPr>
      <w:r>
        <w:rPr>
          <w:rFonts w:eastAsia="Arial" w:cs="Arial"/>
          <w:szCs w:val="20"/>
          <w:bdr w:val="nil"/>
          <w:lang w:val="nl-BE"/>
        </w:rPr>
        <w:t>Bij de DSO zijn er vier functies:</w:t>
      </w:r>
    </w:p>
    <w:p w:rsidR="00D7257A" w:rsidRDefault="00D7257A" w:rsidP="00D7257A">
      <w:pPr>
        <w:pStyle w:val="Paragraphedeliste"/>
        <w:numPr>
          <w:ilvl w:val="0"/>
          <w:numId w:val="3"/>
        </w:numPr>
      </w:pPr>
      <w:r>
        <w:rPr>
          <w:rFonts w:eastAsia="Arial" w:cs="Arial"/>
          <w:szCs w:val="20"/>
          <w:bdr w:val="nil"/>
          <w:lang w:val="nl-BE"/>
        </w:rPr>
        <w:t>Dienstverantwoordelijke</w:t>
      </w:r>
    </w:p>
    <w:p w:rsidR="00D7257A" w:rsidRPr="00A22E25" w:rsidRDefault="00D7257A" w:rsidP="00D7257A">
      <w:pPr>
        <w:pStyle w:val="Paragraphedeliste"/>
        <w:numPr>
          <w:ilvl w:val="0"/>
          <w:numId w:val="3"/>
        </w:numPr>
        <w:rPr>
          <w:lang w:val="nl-BE"/>
        </w:rPr>
      </w:pPr>
      <w:r>
        <w:rPr>
          <w:rFonts w:eastAsia="Arial" w:cs="Arial"/>
          <w:szCs w:val="20"/>
          <w:bdr w:val="nil"/>
          <w:lang w:val="nl-BE"/>
        </w:rPr>
        <w:t>Coördinatoren: verdelen de dossiers onder de dossierbeheerders, keuren de voorstellen van beslissing goed en optimaliseren het werkproces.</w:t>
      </w:r>
    </w:p>
    <w:p w:rsidR="00D7257A" w:rsidRPr="00A22E25" w:rsidRDefault="00D7257A" w:rsidP="00D7257A">
      <w:pPr>
        <w:pStyle w:val="Paragraphedeliste"/>
        <w:numPr>
          <w:ilvl w:val="0"/>
          <w:numId w:val="3"/>
        </w:numPr>
        <w:rPr>
          <w:lang w:val="nl-BE"/>
        </w:rPr>
      </w:pPr>
      <w:r>
        <w:rPr>
          <w:rFonts w:eastAsia="Arial" w:cs="Arial"/>
          <w:szCs w:val="20"/>
          <w:bdr w:val="nil"/>
          <w:lang w:val="nl-BE"/>
        </w:rPr>
        <w:t>Dossierbeheerders: onderzoeken de aanvragen en stellen beslissingen voor met inachtneming van de verschillende regelgevingen.</w:t>
      </w:r>
    </w:p>
    <w:p w:rsidR="00D7257A" w:rsidRPr="00A22E25" w:rsidRDefault="00D7257A" w:rsidP="00D7257A">
      <w:pPr>
        <w:pStyle w:val="Paragraphedeliste"/>
        <w:numPr>
          <w:ilvl w:val="0"/>
          <w:numId w:val="3"/>
        </w:numPr>
        <w:rPr>
          <w:lang w:val="nl-BE"/>
        </w:rPr>
      </w:pPr>
      <w:r>
        <w:rPr>
          <w:rFonts w:eastAsia="Arial" w:cs="Arial"/>
          <w:szCs w:val="20"/>
          <w:bdr w:val="nil"/>
          <w:lang w:val="nl-BE"/>
        </w:rPr>
        <w:t>Ondersteunend personeel: verzekeren het secretariaat van de dienst (invoering van de dossiers in het computersysteem, briefwisseling, economaat,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985"/>
        <w:gridCol w:w="2439"/>
      </w:tblGrid>
      <w:tr w:rsidR="00D7257A" w:rsidTr="00306013">
        <w:tc>
          <w:tcPr>
            <w:tcW w:w="4786" w:type="dxa"/>
          </w:tcPr>
          <w:p w:rsidR="00D7257A" w:rsidRPr="00A22E25" w:rsidRDefault="00D7257A" w:rsidP="00306013">
            <w:pPr>
              <w:jc w:val="center"/>
              <w:rPr>
                <w:b/>
                <w:lang w:val="nl-BE"/>
              </w:rPr>
            </w:pPr>
          </w:p>
        </w:tc>
        <w:tc>
          <w:tcPr>
            <w:tcW w:w="1985" w:type="dxa"/>
          </w:tcPr>
          <w:p w:rsidR="00D7257A" w:rsidRDefault="00D7257A" w:rsidP="00306013">
            <w:pPr>
              <w:jc w:val="center"/>
              <w:rPr>
                <w:b/>
              </w:rPr>
            </w:pPr>
            <w:r>
              <w:rPr>
                <w:rFonts w:eastAsia="Arial" w:cs="Arial"/>
                <w:b/>
                <w:bCs/>
                <w:szCs w:val="20"/>
                <w:bdr w:val="nil"/>
                <w:lang w:val="nl-BE"/>
              </w:rPr>
              <w:t xml:space="preserve">Absolute </w:t>
            </w:r>
            <w:r>
              <w:rPr>
                <w:rFonts w:eastAsia="Arial" w:cs="Arial"/>
                <w:b/>
                <w:bCs/>
                <w:szCs w:val="20"/>
                <w:bdr w:val="nil"/>
                <w:lang w:val="nl-BE"/>
              </w:rPr>
              <w:br/>
              <w:t>waarde</w:t>
            </w:r>
          </w:p>
          <w:p w:rsidR="00D7257A" w:rsidRPr="004C3AF1" w:rsidRDefault="00D7257A" w:rsidP="00306013">
            <w:pPr>
              <w:jc w:val="center"/>
              <w:rPr>
                <w:b/>
              </w:rPr>
            </w:pPr>
          </w:p>
        </w:tc>
        <w:tc>
          <w:tcPr>
            <w:tcW w:w="2439" w:type="dxa"/>
          </w:tcPr>
          <w:p w:rsidR="00D7257A" w:rsidRPr="004C3AF1" w:rsidRDefault="00D7257A" w:rsidP="00306013">
            <w:pPr>
              <w:jc w:val="center"/>
              <w:rPr>
                <w:b/>
              </w:rPr>
            </w:pPr>
            <w:proofErr w:type="spellStart"/>
            <w:r>
              <w:rPr>
                <w:rFonts w:eastAsia="Arial" w:cs="Arial"/>
                <w:b/>
                <w:bCs/>
                <w:szCs w:val="20"/>
                <w:bdr w:val="nil"/>
                <w:lang w:val="nl-BE"/>
              </w:rPr>
              <w:t>VTE's</w:t>
            </w:r>
            <w:proofErr w:type="spellEnd"/>
          </w:p>
        </w:tc>
      </w:tr>
      <w:tr w:rsidR="00D7257A" w:rsidTr="00306013">
        <w:tc>
          <w:tcPr>
            <w:tcW w:w="4786" w:type="dxa"/>
          </w:tcPr>
          <w:p w:rsidR="00D7257A" w:rsidRDefault="00D7257A" w:rsidP="00306013">
            <w:r>
              <w:rPr>
                <w:rFonts w:eastAsia="Arial" w:cs="Arial"/>
                <w:szCs w:val="20"/>
                <w:bdr w:val="nil"/>
                <w:lang w:val="nl-BE"/>
              </w:rPr>
              <w:t>Dienstverantwoordelijke</w:t>
            </w:r>
          </w:p>
        </w:tc>
        <w:tc>
          <w:tcPr>
            <w:tcW w:w="1985" w:type="dxa"/>
          </w:tcPr>
          <w:p w:rsidR="00D7257A" w:rsidRDefault="00D7257A" w:rsidP="00306013">
            <w:pPr>
              <w:jc w:val="center"/>
            </w:pPr>
            <w:r>
              <w:t>1</w:t>
            </w:r>
          </w:p>
        </w:tc>
        <w:tc>
          <w:tcPr>
            <w:tcW w:w="2439" w:type="dxa"/>
          </w:tcPr>
          <w:p w:rsidR="00D7257A" w:rsidRDefault="00D7257A" w:rsidP="00306013">
            <w:pPr>
              <w:jc w:val="center"/>
            </w:pPr>
            <w:r>
              <w:t>1</w:t>
            </w:r>
          </w:p>
        </w:tc>
      </w:tr>
      <w:tr w:rsidR="00D7257A" w:rsidTr="00306013">
        <w:tc>
          <w:tcPr>
            <w:tcW w:w="4786" w:type="dxa"/>
          </w:tcPr>
          <w:p w:rsidR="00D7257A" w:rsidRDefault="00D7257A" w:rsidP="00306013">
            <w:r>
              <w:rPr>
                <w:rFonts w:eastAsia="Arial" w:cs="Arial"/>
                <w:szCs w:val="20"/>
                <w:bdr w:val="nil"/>
                <w:lang w:val="nl-BE"/>
              </w:rPr>
              <w:t>Coördinatoren</w:t>
            </w:r>
          </w:p>
        </w:tc>
        <w:tc>
          <w:tcPr>
            <w:tcW w:w="1985" w:type="dxa"/>
          </w:tcPr>
          <w:p w:rsidR="00D7257A" w:rsidRDefault="00D7257A" w:rsidP="00306013">
            <w:pPr>
              <w:jc w:val="center"/>
            </w:pPr>
            <w:r>
              <w:t>6</w:t>
            </w:r>
          </w:p>
        </w:tc>
        <w:tc>
          <w:tcPr>
            <w:tcW w:w="2439" w:type="dxa"/>
          </w:tcPr>
          <w:p w:rsidR="00D7257A" w:rsidRDefault="00D7257A" w:rsidP="00306013">
            <w:pPr>
              <w:jc w:val="center"/>
            </w:pPr>
            <w:r>
              <w:t>5,8</w:t>
            </w:r>
          </w:p>
        </w:tc>
      </w:tr>
      <w:tr w:rsidR="00D7257A" w:rsidTr="00306013">
        <w:tc>
          <w:tcPr>
            <w:tcW w:w="4786" w:type="dxa"/>
          </w:tcPr>
          <w:p w:rsidR="00D7257A" w:rsidRDefault="00D7257A" w:rsidP="00306013">
            <w:r>
              <w:rPr>
                <w:rFonts w:eastAsia="Arial" w:cs="Arial"/>
                <w:szCs w:val="20"/>
                <w:bdr w:val="nil"/>
                <w:lang w:val="nl-BE"/>
              </w:rPr>
              <w:t>Dossierbeheerders</w:t>
            </w:r>
          </w:p>
        </w:tc>
        <w:tc>
          <w:tcPr>
            <w:tcW w:w="1985" w:type="dxa"/>
          </w:tcPr>
          <w:p w:rsidR="00D7257A" w:rsidRDefault="00D7257A" w:rsidP="00306013">
            <w:pPr>
              <w:jc w:val="center"/>
            </w:pPr>
            <w:r>
              <w:t>16</w:t>
            </w:r>
          </w:p>
        </w:tc>
        <w:tc>
          <w:tcPr>
            <w:tcW w:w="2439" w:type="dxa"/>
          </w:tcPr>
          <w:p w:rsidR="00D7257A" w:rsidRDefault="00D7257A" w:rsidP="00306013">
            <w:pPr>
              <w:jc w:val="center"/>
            </w:pPr>
            <w:r>
              <w:t>14,9</w:t>
            </w:r>
          </w:p>
        </w:tc>
      </w:tr>
      <w:tr w:rsidR="00D7257A" w:rsidTr="00306013">
        <w:tc>
          <w:tcPr>
            <w:tcW w:w="4786" w:type="dxa"/>
          </w:tcPr>
          <w:p w:rsidR="00D7257A" w:rsidRDefault="00D7257A" w:rsidP="00306013">
            <w:r>
              <w:rPr>
                <w:rFonts w:eastAsia="Arial" w:cs="Arial"/>
                <w:szCs w:val="20"/>
                <w:bdr w:val="nil"/>
                <w:lang w:val="nl-BE"/>
              </w:rPr>
              <w:t>Ondersteunend personeel</w:t>
            </w:r>
          </w:p>
        </w:tc>
        <w:tc>
          <w:tcPr>
            <w:tcW w:w="1985" w:type="dxa"/>
          </w:tcPr>
          <w:p w:rsidR="00D7257A" w:rsidRDefault="00D7257A" w:rsidP="00306013">
            <w:pPr>
              <w:jc w:val="center"/>
            </w:pPr>
            <w:r>
              <w:t>3</w:t>
            </w:r>
          </w:p>
          <w:p w:rsidR="00D7257A" w:rsidRDefault="00D7257A" w:rsidP="00306013">
            <w:pPr>
              <w:jc w:val="center"/>
            </w:pPr>
          </w:p>
        </w:tc>
        <w:tc>
          <w:tcPr>
            <w:tcW w:w="2439" w:type="dxa"/>
          </w:tcPr>
          <w:p w:rsidR="00D7257A" w:rsidRDefault="00D7257A" w:rsidP="00306013">
            <w:pPr>
              <w:jc w:val="center"/>
            </w:pPr>
            <w:r>
              <w:rPr>
                <w:rFonts w:eastAsia="Arial" w:cs="Arial"/>
                <w:szCs w:val="20"/>
                <w:bdr w:val="nil"/>
                <w:lang w:val="nl-BE"/>
              </w:rPr>
              <w:t>2,8</w:t>
            </w:r>
          </w:p>
        </w:tc>
      </w:tr>
      <w:tr w:rsidR="00D7257A" w:rsidTr="00306013">
        <w:tc>
          <w:tcPr>
            <w:tcW w:w="4786" w:type="dxa"/>
          </w:tcPr>
          <w:p w:rsidR="00D7257A" w:rsidRPr="004C3AF1" w:rsidRDefault="00D7257A" w:rsidP="00306013">
            <w:pPr>
              <w:rPr>
                <w:b/>
              </w:rPr>
            </w:pPr>
            <w:r>
              <w:rPr>
                <w:rFonts w:eastAsia="Arial" w:cs="Arial"/>
                <w:b/>
                <w:bCs/>
                <w:szCs w:val="20"/>
                <w:bdr w:val="nil"/>
                <w:lang w:val="nl-BE"/>
              </w:rPr>
              <w:t>Totaal</w:t>
            </w:r>
          </w:p>
        </w:tc>
        <w:tc>
          <w:tcPr>
            <w:tcW w:w="1985" w:type="dxa"/>
          </w:tcPr>
          <w:p w:rsidR="00D7257A" w:rsidRPr="004C3AF1" w:rsidRDefault="00D7257A" w:rsidP="00306013">
            <w:pPr>
              <w:jc w:val="center"/>
              <w:rPr>
                <w:b/>
              </w:rPr>
            </w:pPr>
            <w:r>
              <w:rPr>
                <w:b/>
              </w:rPr>
              <w:t>26</w:t>
            </w:r>
          </w:p>
        </w:tc>
        <w:tc>
          <w:tcPr>
            <w:tcW w:w="2439" w:type="dxa"/>
          </w:tcPr>
          <w:p w:rsidR="00D7257A" w:rsidRPr="004C3AF1" w:rsidRDefault="00D7257A" w:rsidP="00306013">
            <w:pPr>
              <w:jc w:val="center"/>
              <w:rPr>
                <w:b/>
              </w:rPr>
            </w:pPr>
            <w:r>
              <w:rPr>
                <w:b/>
              </w:rPr>
              <w:t>24,5</w:t>
            </w:r>
          </w:p>
        </w:tc>
      </w:tr>
    </w:tbl>
    <w:p w:rsidR="00D7257A" w:rsidRPr="001B3D92" w:rsidRDefault="00D7257A" w:rsidP="00D7257A"/>
    <w:p w:rsidR="00D7257A" w:rsidRDefault="00D7257A" w:rsidP="00D7257A">
      <w:pPr>
        <w:pStyle w:val="Titre2"/>
        <w:numPr>
          <w:ilvl w:val="1"/>
          <w:numId w:val="1"/>
        </w:numPr>
      </w:pPr>
      <w:bookmarkStart w:id="11" w:name="_Toc481048800"/>
      <w:bookmarkStart w:id="12" w:name="_Toc518917032"/>
      <w:r>
        <w:rPr>
          <w:rFonts w:eastAsia="Arial" w:cs="Arial"/>
          <w:bdr w:val="nil"/>
          <w:lang w:val="nl-BE"/>
        </w:rPr>
        <w:t>Organisatie</w:t>
      </w:r>
      <w:bookmarkEnd w:id="11"/>
      <w:bookmarkEnd w:id="12"/>
    </w:p>
    <w:p w:rsidR="00D7257A" w:rsidRPr="00A22E25" w:rsidRDefault="00D7257A" w:rsidP="00D7257A">
      <w:pPr>
        <w:rPr>
          <w:rFonts w:eastAsia="Arial Unicode MS" w:cs="Arial"/>
          <w:lang w:val="nl-BE"/>
        </w:rPr>
      </w:pPr>
      <w:r>
        <w:rPr>
          <w:rFonts w:eastAsia="Arial" w:cs="Arial"/>
          <w:szCs w:val="20"/>
          <w:bdr w:val="nil"/>
          <w:lang w:val="nl-BE"/>
        </w:rPr>
        <w:t>Steun aan ondernemingen wordt toegekend afhankelijk van de materies.</w:t>
      </w:r>
    </w:p>
    <w:p w:rsidR="00D7257A" w:rsidRPr="00A22E25" w:rsidRDefault="00D7257A" w:rsidP="00D7257A">
      <w:pPr>
        <w:rPr>
          <w:rFonts w:eastAsia="Arial Unicode MS" w:cs="Arial"/>
          <w:lang w:val="nl-BE"/>
        </w:rPr>
      </w:pPr>
      <w:r>
        <w:rPr>
          <w:rFonts w:eastAsia="Arial" w:cs="Arial"/>
          <w:b/>
          <w:bCs/>
          <w:i/>
          <w:iCs/>
          <w:szCs w:val="20"/>
          <w:bdr w:val="nil"/>
          <w:lang w:val="nl-BE"/>
        </w:rPr>
        <w:t>De "</w:t>
      </w:r>
      <w:proofErr w:type="spellStart"/>
      <w:r>
        <w:rPr>
          <w:rFonts w:eastAsia="Arial" w:cs="Arial"/>
          <w:b/>
          <w:bCs/>
          <w:i/>
          <w:iCs/>
          <w:szCs w:val="20"/>
          <w:bdr w:val="nil"/>
          <w:lang w:val="nl-BE"/>
        </w:rPr>
        <w:t>softsteun</w:t>
      </w:r>
      <w:proofErr w:type="spellEnd"/>
      <w:r>
        <w:rPr>
          <w:rFonts w:eastAsia="Arial" w:cs="Arial"/>
          <w:b/>
          <w:bCs/>
          <w:i/>
          <w:iCs/>
          <w:szCs w:val="20"/>
          <w:bdr w:val="nil"/>
          <w:lang w:val="nl-BE"/>
        </w:rPr>
        <w:t xml:space="preserve">" </w:t>
      </w:r>
      <w:r>
        <w:rPr>
          <w:rFonts w:eastAsia="Arial" w:cs="Arial"/>
          <w:szCs w:val="20"/>
          <w:bdr w:val="nil"/>
          <w:lang w:val="nl-BE"/>
        </w:rPr>
        <w:t>(2 coördinatoren) heeft als wettelijke basis:</w:t>
      </w:r>
    </w:p>
    <w:p w:rsidR="00D7257A" w:rsidRPr="00A22E25" w:rsidRDefault="00D7257A" w:rsidP="00D7257A">
      <w:pPr>
        <w:numPr>
          <w:ilvl w:val="0"/>
          <w:numId w:val="2"/>
        </w:numPr>
        <w:rPr>
          <w:rFonts w:eastAsia="Arial Unicode MS" w:cs="Arial"/>
          <w:lang w:val="nl-BE"/>
        </w:rPr>
      </w:pPr>
      <w:r>
        <w:rPr>
          <w:rFonts w:eastAsia="Arial" w:cs="Arial"/>
          <w:szCs w:val="20"/>
          <w:bdr w:val="nil"/>
          <w:lang w:val="nl-BE"/>
        </w:rPr>
        <w:t>Organieke ordonnantie van 13 december 2007 betreffende de steun ter bevordering van de economische expansie: steun voor consultancy, opleiding, werving en steun voor kinderopvang.</w:t>
      </w:r>
    </w:p>
    <w:p w:rsidR="00D7257A" w:rsidRPr="00A22E25" w:rsidRDefault="00D7257A" w:rsidP="00D7257A">
      <w:pPr>
        <w:numPr>
          <w:ilvl w:val="0"/>
          <w:numId w:val="2"/>
        </w:numPr>
        <w:rPr>
          <w:rFonts w:eastAsia="Arial Unicode MS" w:cs="Arial"/>
          <w:lang w:val="nl-BE"/>
        </w:rPr>
      </w:pPr>
      <w:r>
        <w:rPr>
          <w:rFonts w:eastAsia="Arial" w:cs="Arial"/>
          <w:szCs w:val="20"/>
          <w:bdr w:val="nil"/>
          <w:lang w:val="nl-BE"/>
        </w:rPr>
        <w:t>Wet van 3 december 2005 betreffende de uitkering van een inkomenscompensatievergoeding aan zelfstandigen.</w:t>
      </w:r>
    </w:p>
    <w:p w:rsidR="00D7257A" w:rsidRPr="00A22E25" w:rsidRDefault="00D7257A" w:rsidP="00D7257A">
      <w:pPr>
        <w:rPr>
          <w:rFonts w:eastAsia="Arial Unicode MS" w:cs="Arial"/>
          <w:lang w:val="nl-BE"/>
        </w:rPr>
      </w:pPr>
      <w:r>
        <w:rPr>
          <w:rFonts w:eastAsia="Arial" w:cs="Arial"/>
          <w:b/>
          <w:bCs/>
          <w:i/>
          <w:iCs/>
          <w:szCs w:val="20"/>
          <w:bdr w:val="nil"/>
          <w:lang w:val="nl-BE"/>
        </w:rPr>
        <w:t xml:space="preserve">De materie "buitenland" </w:t>
      </w:r>
      <w:r>
        <w:rPr>
          <w:rFonts w:eastAsia="Arial" w:cs="Arial"/>
          <w:szCs w:val="20"/>
          <w:bdr w:val="nil"/>
          <w:lang w:val="nl-BE"/>
        </w:rPr>
        <w:t>(2 coördinatoren) heeft als wettelijke basis:</w:t>
      </w:r>
    </w:p>
    <w:p w:rsidR="00D7257A" w:rsidRPr="00A22E25" w:rsidRDefault="00D7257A" w:rsidP="00D7257A">
      <w:pPr>
        <w:numPr>
          <w:ilvl w:val="0"/>
          <w:numId w:val="2"/>
        </w:numPr>
        <w:rPr>
          <w:rFonts w:eastAsia="Arial Unicode MS" w:cs="Arial"/>
          <w:lang w:val="nl-BE"/>
        </w:rPr>
      </w:pPr>
      <w:r>
        <w:rPr>
          <w:rFonts w:eastAsia="Arial" w:cs="Arial"/>
          <w:szCs w:val="20"/>
          <w:bdr w:val="nil"/>
          <w:lang w:val="nl-BE"/>
        </w:rPr>
        <w:t>Ordonnantie van 13 januari 1994 betreffende de bevordering van de buitenlandse handel van het Brussels Hoofdstedelijk Gewest.</w:t>
      </w:r>
    </w:p>
    <w:p w:rsidR="00D7257A" w:rsidRPr="00A22E25" w:rsidRDefault="00D7257A" w:rsidP="00D7257A">
      <w:pPr>
        <w:rPr>
          <w:rFonts w:eastAsia="Arial Unicode MS" w:cs="Arial"/>
          <w:lang w:val="nl-BE"/>
        </w:rPr>
      </w:pPr>
      <w:r>
        <w:rPr>
          <w:rFonts w:eastAsia="Arial" w:cs="Arial"/>
          <w:b/>
          <w:bCs/>
          <w:i/>
          <w:iCs/>
          <w:szCs w:val="20"/>
          <w:bdr w:val="nil"/>
          <w:lang w:val="nl-BE"/>
        </w:rPr>
        <w:t xml:space="preserve">De materie "algemene investeringen" </w:t>
      </w:r>
      <w:r>
        <w:rPr>
          <w:rFonts w:eastAsia="Arial" w:cs="Arial"/>
          <w:szCs w:val="20"/>
          <w:bdr w:val="nil"/>
          <w:lang w:val="nl-BE"/>
        </w:rPr>
        <w:t>(1 coördinator) heeft als wettelijke basis:</w:t>
      </w:r>
    </w:p>
    <w:p w:rsidR="00D7257A" w:rsidRPr="00A22E25" w:rsidRDefault="00D7257A" w:rsidP="00D7257A">
      <w:pPr>
        <w:numPr>
          <w:ilvl w:val="0"/>
          <w:numId w:val="2"/>
        </w:numPr>
        <w:rPr>
          <w:rFonts w:eastAsia="Arial Unicode MS" w:cs="Arial"/>
          <w:sz w:val="16"/>
          <w:szCs w:val="16"/>
          <w:lang w:val="nl-BE"/>
        </w:rPr>
      </w:pPr>
      <w:r>
        <w:rPr>
          <w:rFonts w:eastAsia="Arial" w:cs="Arial"/>
          <w:szCs w:val="20"/>
          <w:bdr w:val="nil"/>
          <w:lang w:val="nl-BE"/>
        </w:rPr>
        <w:t>Organieke ordonnantie van 13 december 2007 betreffende de steun ter bevordering van de economische expansie: steun voor algemene investeringen.</w:t>
      </w:r>
    </w:p>
    <w:p w:rsidR="00D7257A" w:rsidRPr="00A22E25" w:rsidRDefault="00D7257A" w:rsidP="00D7257A">
      <w:pPr>
        <w:rPr>
          <w:rFonts w:eastAsia="Arial Unicode MS" w:cs="Arial"/>
          <w:b/>
          <w:i/>
          <w:lang w:val="nl-BE"/>
        </w:rPr>
      </w:pPr>
    </w:p>
    <w:p w:rsidR="00D7257A" w:rsidRPr="00A22E25" w:rsidRDefault="00D7257A" w:rsidP="00D7257A">
      <w:pPr>
        <w:rPr>
          <w:rFonts w:eastAsia="Arial Unicode MS" w:cs="Arial"/>
          <w:b/>
          <w:i/>
          <w:lang w:val="nl-BE"/>
        </w:rPr>
      </w:pPr>
    </w:p>
    <w:p w:rsidR="00D7257A" w:rsidRPr="00A22E25" w:rsidRDefault="00D7257A" w:rsidP="00D7257A">
      <w:pPr>
        <w:rPr>
          <w:rFonts w:eastAsia="Arial Unicode MS" w:cs="Arial"/>
          <w:lang w:val="nl-BE"/>
        </w:rPr>
      </w:pPr>
      <w:r>
        <w:rPr>
          <w:rFonts w:eastAsia="Arial" w:cs="Arial"/>
          <w:b/>
          <w:bCs/>
          <w:i/>
          <w:iCs/>
          <w:szCs w:val="20"/>
          <w:bdr w:val="nil"/>
          <w:lang w:val="nl-BE"/>
        </w:rPr>
        <w:lastRenderedPageBreak/>
        <w:t xml:space="preserve">De materie "specifieke investeringen" </w:t>
      </w:r>
      <w:r>
        <w:rPr>
          <w:rFonts w:eastAsia="Arial" w:cs="Arial"/>
          <w:szCs w:val="20"/>
          <w:bdr w:val="nil"/>
          <w:lang w:val="nl-BE"/>
        </w:rPr>
        <w:t>(1 coördinator) heeft als wettelijke basis:</w:t>
      </w:r>
    </w:p>
    <w:p w:rsidR="00D7257A" w:rsidRPr="00A22E25" w:rsidRDefault="00D7257A" w:rsidP="00D7257A">
      <w:pPr>
        <w:numPr>
          <w:ilvl w:val="0"/>
          <w:numId w:val="2"/>
        </w:numPr>
        <w:rPr>
          <w:rFonts w:eastAsia="Arial Unicode MS" w:cs="Arial"/>
          <w:lang w:val="nl-BE"/>
        </w:rPr>
      </w:pPr>
      <w:r>
        <w:rPr>
          <w:rFonts w:eastAsia="Arial" w:cs="Arial"/>
          <w:szCs w:val="20"/>
          <w:bdr w:val="nil"/>
          <w:lang w:val="nl-BE"/>
        </w:rPr>
        <w:t>Organieke ordonnantie van 13 december 2007 betreffende de steun ter bevordering van de economische expansie: steun voor specifieke investeringen.</w:t>
      </w:r>
    </w:p>
    <w:p w:rsidR="00D7257A" w:rsidRPr="00A22E25" w:rsidRDefault="00D7257A" w:rsidP="00D7257A">
      <w:pPr>
        <w:jc w:val="left"/>
        <w:rPr>
          <w:rFonts w:eastAsiaTheme="majorEastAsia" w:cstheme="majorBidi"/>
          <w:b/>
          <w:bCs/>
          <w:color w:val="0A00BE"/>
          <w:sz w:val="28"/>
          <w:szCs w:val="28"/>
          <w:lang w:val="nl-BE"/>
        </w:rPr>
      </w:pPr>
      <w:r w:rsidRPr="00A22E25">
        <w:rPr>
          <w:lang w:val="nl-BE"/>
        </w:rPr>
        <w:br w:type="page"/>
      </w:r>
    </w:p>
    <w:p w:rsidR="00D7257A" w:rsidRPr="00A22E25" w:rsidRDefault="00D7257A" w:rsidP="00D7257A">
      <w:pPr>
        <w:pStyle w:val="Titre1"/>
        <w:numPr>
          <w:ilvl w:val="0"/>
          <w:numId w:val="1"/>
        </w:numPr>
        <w:rPr>
          <w:lang w:val="nl-BE"/>
        </w:rPr>
      </w:pPr>
      <w:bookmarkStart w:id="13" w:name="_Toc518917033"/>
      <w:r>
        <w:rPr>
          <w:rFonts w:eastAsia="Arial" w:cs="Arial"/>
          <w:bdr w:val="nil"/>
          <w:lang w:val="nl-BE"/>
        </w:rPr>
        <w:lastRenderedPageBreak/>
        <w:t>Overzicht: aantal ingediende dossiers met een beslissing</w:t>
      </w:r>
      <w:bookmarkEnd w:id="13"/>
    </w:p>
    <w:p w:rsidR="00D7257A" w:rsidRPr="00A22E25" w:rsidRDefault="00D7257A" w:rsidP="00D7257A">
      <w:pPr>
        <w:rPr>
          <w:rFonts w:eastAsia="Arial Unicode MS" w:cs="Arial"/>
          <w:bCs/>
          <w:lang w:val="nl-BE"/>
        </w:rPr>
      </w:pPr>
      <w:r>
        <w:rPr>
          <w:rFonts w:cs="Arial"/>
          <w:noProof/>
          <w:lang w:eastAsia="fr-BE"/>
        </w:rPr>
        <w:drawing>
          <wp:inline distT="0" distB="0" distL="0" distR="0" wp14:anchorId="6606B8FA" wp14:editId="2AF34A3B">
            <wp:extent cx="5528733" cy="6138333"/>
            <wp:effectExtent l="0" t="0" r="0" b="0"/>
            <wp:docPr id="8" name="Graphique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eastAsia="Arial" w:cs="Arial"/>
          <w:noProof/>
          <w:szCs w:val="20"/>
          <w:bdr w:val="nil"/>
          <w:lang w:val="nl-BE" w:eastAsia="fr-BE"/>
        </w:rPr>
        <w:t>Premies:</w:t>
      </w:r>
      <w:r>
        <w:rPr>
          <w:rFonts w:eastAsia="Arial" w:cs="Arial"/>
          <w:noProof/>
          <w:szCs w:val="20"/>
          <w:bdr w:val="nil"/>
          <w:lang w:val="nl-BE" w:eastAsia="fr-BE"/>
        </w:rPr>
        <w:tab/>
        <w:t>€ 10.502.926</w:t>
      </w:r>
      <w:r>
        <w:rPr>
          <w:rFonts w:eastAsia="Arial" w:cs="Arial"/>
          <w:noProof/>
          <w:szCs w:val="20"/>
          <w:bdr w:val="nil"/>
          <w:lang w:val="nl-BE" w:eastAsia="fr-BE"/>
        </w:rPr>
        <w:tab/>
        <w:t xml:space="preserve">         € 2.669.444</w:t>
      </w:r>
      <w:r>
        <w:rPr>
          <w:rFonts w:eastAsia="Arial" w:cs="Arial"/>
          <w:noProof/>
          <w:szCs w:val="20"/>
          <w:bdr w:val="nil"/>
          <w:lang w:val="nl-BE" w:eastAsia="fr-BE"/>
        </w:rPr>
        <w:tab/>
        <w:t xml:space="preserve">      € 16.481.627</w:t>
      </w:r>
      <w:r>
        <w:rPr>
          <w:rFonts w:eastAsia="Arial" w:cs="Arial"/>
          <w:noProof/>
          <w:szCs w:val="20"/>
          <w:bdr w:val="nil"/>
          <w:lang w:val="nl-BE" w:eastAsia="fr-BE"/>
        </w:rPr>
        <w:tab/>
        <w:t xml:space="preserve">       € 4.262.876</w:t>
      </w:r>
    </w:p>
    <w:p w:rsidR="00D7257A" w:rsidRPr="00A22E25" w:rsidRDefault="00D7257A" w:rsidP="00D7257A">
      <w:pPr>
        <w:rPr>
          <w:lang w:val="nl-BE"/>
        </w:rPr>
      </w:pPr>
      <w:r>
        <w:rPr>
          <w:rFonts w:eastAsia="Arial" w:cs="Arial"/>
          <w:szCs w:val="20"/>
          <w:bdr w:val="nil"/>
          <w:lang w:val="nl-BE"/>
        </w:rPr>
        <w:t xml:space="preserve">In 2017 heeft het bestuur </w:t>
      </w:r>
      <w:r>
        <w:rPr>
          <w:rFonts w:eastAsia="Arial" w:cs="Arial"/>
          <w:b/>
          <w:bCs/>
          <w:szCs w:val="20"/>
          <w:bdr w:val="nil"/>
          <w:lang w:val="nl-BE"/>
        </w:rPr>
        <w:t>5.309 steunaanvragen</w:t>
      </w:r>
      <w:r>
        <w:rPr>
          <w:rFonts w:eastAsia="Arial" w:cs="Arial"/>
          <w:szCs w:val="20"/>
          <w:bdr w:val="nil"/>
          <w:lang w:val="nl-BE"/>
        </w:rPr>
        <w:t xml:space="preserve"> ontvangen, waarvan bijna 50% betrekking had op </w:t>
      </w:r>
      <w:proofErr w:type="spellStart"/>
      <w:r>
        <w:rPr>
          <w:rFonts w:eastAsia="Arial" w:cs="Arial"/>
          <w:szCs w:val="20"/>
          <w:bdr w:val="nil"/>
          <w:lang w:val="nl-BE"/>
        </w:rPr>
        <w:t>softsteun</w:t>
      </w:r>
      <w:proofErr w:type="spellEnd"/>
      <w:r>
        <w:rPr>
          <w:rFonts w:eastAsia="Arial" w:cs="Arial"/>
          <w:szCs w:val="20"/>
          <w:bdr w:val="nil"/>
          <w:lang w:val="nl-BE"/>
        </w:rPr>
        <w:t xml:space="preserve">. Over 4.676 dossiers werd een beslissing genomen. Het totaal van de berekende premies bedraagt </w:t>
      </w:r>
      <w:r>
        <w:rPr>
          <w:rFonts w:eastAsia="Arial" w:cs="Arial"/>
          <w:b/>
          <w:bCs/>
          <w:szCs w:val="20"/>
          <w:bdr w:val="nil"/>
          <w:lang w:val="nl-BE"/>
        </w:rPr>
        <w:t>33,9 miljoen euro</w:t>
      </w:r>
      <w:r>
        <w:rPr>
          <w:rFonts w:eastAsia="Arial" w:cs="Arial"/>
          <w:szCs w:val="20"/>
          <w:bdr w:val="nil"/>
          <w:lang w:val="nl-BE"/>
        </w:rPr>
        <w:t xml:space="preserve">. </w:t>
      </w:r>
    </w:p>
    <w:p w:rsidR="00D7257A" w:rsidRPr="00A22E25" w:rsidRDefault="00D7257A" w:rsidP="00D7257A">
      <w:pPr>
        <w:jc w:val="left"/>
        <w:rPr>
          <w:rFonts w:cs="Arial"/>
          <w:sz w:val="16"/>
          <w:szCs w:val="16"/>
          <w:lang w:val="nl-BE"/>
        </w:rPr>
      </w:pPr>
      <w:r>
        <w:rPr>
          <w:rFonts w:eastAsia="Arial" w:cs="Arial"/>
          <w:sz w:val="16"/>
          <w:szCs w:val="16"/>
          <w:bdr w:val="nil"/>
          <w:lang w:val="nl-BE"/>
        </w:rPr>
        <w:t>Ingediend = datum van ontvangst van de aanvraag door Brussel Economie en Werkgelegenheid (BEW)</w:t>
      </w:r>
      <w:r>
        <w:rPr>
          <w:rFonts w:eastAsia="Arial" w:cs="Arial"/>
          <w:sz w:val="16"/>
          <w:szCs w:val="16"/>
          <w:bdr w:val="nil"/>
          <w:lang w:val="nl-BE"/>
        </w:rPr>
        <w:br/>
        <w:t xml:space="preserve"> Beslist = datum beslissing directeur (datum scan drager van de melding van de beslissing)</w:t>
      </w:r>
    </w:p>
    <w:p w:rsidR="00D7257A" w:rsidRPr="00A22E25" w:rsidRDefault="00D7257A" w:rsidP="00D7257A">
      <w:pPr>
        <w:pStyle w:val="Titre1"/>
        <w:numPr>
          <w:ilvl w:val="0"/>
          <w:numId w:val="1"/>
        </w:numPr>
        <w:rPr>
          <w:lang w:val="nl-BE"/>
        </w:rPr>
      </w:pPr>
      <w:bookmarkStart w:id="14" w:name="_Toc518917034"/>
      <w:r>
        <w:rPr>
          <w:rFonts w:eastAsia="Arial" w:cs="Arial"/>
          <w:bdr w:val="nil"/>
          <w:lang w:val="nl-BE"/>
        </w:rPr>
        <w:lastRenderedPageBreak/>
        <w:t>Organieke ordonnantie van 13 december 2007 betreffende de steun ter bevordering van de economische expansie</w:t>
      </w:r>
      <w:bookmarkEnd w:id="14"/>
      <w:r>
        <w:rPr>
          <w:rFonts w:eastAsia="Arial" w:cs="Arial"/>
          <w:bdr w:val="nil"/>
          <w:lang w:val="nl-BE"/>
        </w:rPr>
        <w:t xml:space="preserve"> </w:t>
      </w:r>
    </w:p>
    <w:p w:rsidR="00D7257A" w:rsidRDefault="00D7257A" w:rsidP="00D7257A">
      <w:pPr>
        <w:pStyle w:val="Titre2"/>
        <w:numPr>
          <w:ilvl w:val="1"/>
          <w:numId w:val="1"/>
        </w:numPr>
      </w:pPr>
      <w:bookmarkStart w:id="15" w:name="_Toc518917035"/>
      <w:r>
        <w:rPr>
          <w:rFonts w:eastAsia="Arial" w:cs="Arial"/>
          <w:bdr w:val="nil"/>
          <w:lang w:val="nl-BE"/>
        </w:rPr>
        <w:t>De SOFT-steun</w:t>
      </w:r>
      <w:bookmarkEnd w:id="15"/>
    </w:p>
    <w:p w:rsidR="00D7257A" w:rsidRPr="002A6EC3" w:rsidRDefault="00D7257A" w:rsidP="00D7257A">
      <w:pPr>
        <w:pStyle w:val="Titre3"/>
        <w:numPr>
          <w:ilvl w:val="2"/>
          <w:numId w:val="1"/>
        </w:numPr>
        <w:rPr>
          <w:rFonts w:eastAsia="Arial Unicode MS"/>
        </w:rPr>
      </w:pPr>
      <w:bookmarkStart w:id="16" w:name="_Toc518917036"/>
      <w:r>
        <w:rPr>
          <w:rFonts w:eastAsia="Arial" w:cs="Arial"/>
          <w:szCs w:val="20"/>
          <w:bdr w:val="nil"/>
          <w:lang w:val="nl-BE"/>
        </w:rPr>
        <w:t>Overzicht</w:t>
      </w:r>
      <w:bookmarkEnd w:id="16"/>
    </w:p>
    <w:p w:rsidR="00D7257A" w:rsidRPr="00A22E25" w:rsidRDefault="00D7257A" w:rsidP="00D7257A">
      <w:pPr>
        <w:rPr>
          <w:lang w:val="nl-BE"/>
        </w:rPr>
      </w:pPr>
      <w:r>
        <w:rPr>
          <w:rFonts w:eastAsia="Arial" w:cs="Arial"/>
          <w:szCs w:val="20"/>
          <w:bdr w:val="nil"/>
          <w:lang w:val="nl-BE"/>
        </w:rPr>
        <w:t>De volgende tegemoetkomingen vallen onder de noemer "</w:t>
      </w:r>
      <w:proofErr w:type="spellStart"/>
      <w:r>
        <w:rPr>
          <w:rFonts w:eastAsia="Arial" w:cs="Arial"/>
          <w:szCs w:val="20"/>
          <w:bdr w:val="nil"/>
          <w:lang w:val="nl-BE"/>
        </w:rPr>
        <w:t>softsteun</w:t>
      </w:r>
      <w:proofErr w:type="spellEnd"/>
      <w:r>
        <w:rPr>
          <w:rFonts w:eastAsia="Arial" w:cs="Arial"/>
          <w:szCs w:val="20"/>
          <w:bdr w:val="nil"/>
          <w:lang w:val="nl-BE"/>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D7257A" w:rsidTr="00306013">
        <w:tc>
          <w:tcPr>
            <w:tcW w:w="4605" w:type="dxa"/>
          </w:tcPr>
          <w:p w:rsidR="00D7257A" w:rsidRDefault="00D7257A" w:rsidP="00306013">
            <w:pPr>
              <w:pStyle w:val="Paragraphedeliste"/>
              <w:numPr>
                <w:ilvl w:val="0"/>
                <w:numId w:val="5"/>
              </w:numPr>
            </w:pPr>
            <w:r>
              <w:rPr>
                <w:rFonts w:eastAsia="Arial" w:cs="Arial"/>
                <w:szCs w:val="20"/>
                <w:bdr w:val="nil"/>
                <w:lang w:val="nl-BE"/>
              </w:rPr>
              <w:t>Advies en studies</w:t>
            </w:r>
          </w:p>
        </w:tc>
        <w:tc>
          <w:tcPr>
            <w:tcW w:w="4605" w:type="dxa"/>
          </w:tcPr>
          <w:p w:rsidR="00D7257A" w:rsidRDefault="00D7257A" w:rsidP="00306013">
            <w:pPr>
              <w:pStyle w:val="Paragraphedeliste"/>
              <w:numPr>
                <w:ilvl w:val="0"/>
                <w:numId w:val="5"/>
              </w:numPr>
            </w:pPr>
            <w:r>
              <w:rPr>
                <w:rFonts w:eastAsia="Arial" w:cs="Arial"/>
                <w:szCs w:val="20"/>
                <w:bdr w:val="nil"/>
                <w:lang w:val="nl-BE"/>
              </w:rPr>
              <w:t>Pre-activiteit</w:t>
            </w:r>
          </w:p>
        </w:tc>
      </w:tr>
      <w:tr w:rsidR="00D7257A" w:rsidTr="00306013">
        <w:tc>
          <w:tcPr>
            <w:tcW w:w="4605" w:type="dxa"/>
          </w:tcPr>
          <w:p w:rsidR="00D7257A" w:rsidRDefault="00D7257A" w:rsidP="00306013">
            <w:pPr>
              <w:pStyle w:val="Paragraphedeliste"/>
              <w:numPr>
                <w:ilvl w:val="0"/>
                <w:numId w:val="5"/>
              </w:numPr>
            </w:pPr>
            <w:r>
              <w:rPr>
                <w:rFonts w:eastAsia="Arial" w:cs="Arial"/>
                <w:szCs w:val="20"/>
                <w:bdr w:val="nil"/>
                <w:lang w:val="nl-BE"/>
              </w:rPr>
              <w:t>Externe opleidingen</w:t>
            </w:r>
          </w:p>
        </w:tc>
        <w:tc>
          <w:tcPr>
            <w:tcW w:w="4605" w:type="dxa"/>
          </w:tcPr>
          <w:p w:rsidR="00D7257A" w:rsidRDefault="00D7257A" w:rsidP="00306013">
            <w:pPr>
              <w:pStyle w:val="Paragraphedeliste"/>
              <w:numPr>
                <w:ilvl w:val="0"/>
                <w:numId w:val="5"/>
              </w:numPr>
            </w:pPr>
            <w:r>
              <w:rPr>
                <w:rFonts w:eastAsia="Arial" w:cs="Arial"/>
                <w:szCs w:val="20"/>
                <w:bdr w:val="nil"/>
                <w:lang w:val="nl-BE"/>
              </w:rPr>
              <w:t>IBO-peterschap</w:t>
            </w:r>
          </w:p>
        </w:tc>
      </w:tr>
      <w:tr w:rsidR="00D7257A" w:rsidTr="00306013">
        <w:tc>
          <w:tcPr>
            <w:tcW w:w="4605" w:type="dxa"/>
          </w:tcPr>
          <w:p w:rsidR="00D7257A" w:rsidRDefault="00D7257A" w:rsidP="00306013">
            <w:pPr>
              <w:pStyle w:val="Paragraphedeliste"/>
              <w:numPr>
                <w:ilvl w:val="0"/>
                <w:numId w:val="5"/>
              </w:numPr>
            </w:pPr>
            <w:r>
              <w:rPr>
                <w:rFonts w:eastAsia="Arial" w:cs="Arial"/>
                <w:szCs w:val="20"/>
                <w:bdr w:val="nil"/>
                <w:lang w:val="nl-BE"/>
              </w:rPr>
              <w:t>Terbeschikkingstelling</w:t>
            </w:r>
          </w:p>
        </w:tc>
        <w:tc>
          <w:tcPr>
            <w:tcW w:w="4605" w:type="dxa"/>
          </w:tcPr>
          <w:p w:rsidR="00D7257A" w:rsidRDefault="00D7257A" w:rsidP="00306013">
            <w:pPr>
              <w:pStyle w:val="Paragraphedeliste"/>
              <w:numPr>
                <w:ilvl w:val="0"/>
                <w:numId w:val="5"/>
              </w:numPr>
            </w:pPr>
            <w:r>
              <w:rPr>
                <w:rFonts w:eastAsia="Arial" w:cs="Arial"/>
                <w:szCs w:val="20"/>
                <w:bdr w:val="nil"/>
                <w:lang w:val="nl-BE"/>
              </w:rPr>
              <w:t>Aanwerving vzw</w:t>
            </w:r>
          </w:p>
        </w:tc>
      </w:tr>
      <w:tr w:rsidR="00D7257A" w:rsidTr="00306013">
        <w:tc>
          <w:tcPr>
            <w:tcW w:w="4605" w:type="dxa"/>
          </w:tcPr>
          <w:p w:rsidR="00D7257A" w:rsidRDefault="00D7257A" w:rsidP="00306013">
            <w:pPr>
              <w:pStyle w:val="Paragraphedeliste"/>
              <w:numPr>
                <w:ilvl w:val="0"/>
                <w:numId w:val="5"/>
              </w:numPr>
            </w:pPr>
            <w:r>
              <w:rPr>
                <w:rFonts w:eastAsia="Arial" w:cs="Arial"/>
                <w:szCs w:val="20"/>
                <w:bdr w:val="nil"/>
                <w:lang w:val="nl-BE"/>
              </w:rPr>
              <w:t>Kinderopvang</w:t>
            </w:r>
          </w:p>
        </w:tc>
        <w:tc>
          <w:tcPr>
            <w:tcW w:w="4605" w:type="dxa"/>
          </w:tcPr>
          <w:p w:rsidR="00D7257A" w:rsidRDefault="00D7257A" w:rsidP="00306013">
            <w:pPr>
              <w:pStyle w:val="Paragraphedeliste"/>
              <w:numPr>
                <w:ilvl w:val="0"/>
                <w:numId w:val="5"/>
              </w:numPr>
            </w:pPr>
            <w:r>
              <w:rPr>
                <w:rFonts w:eastAsia="Arial" w:cs="Arial"/>
                <w:szCs w:val="20"/>
                <w:bdr w:val="nil"/>
                <w:lang w:val="nl-BE"/>
              </w:rPr>
              <w:t>Aanwerving specifiek project</w:t>
            </w:r>
          </w:p>
        </w:tc>
      </w:tr>
    </w:tbl>
    <w:p w:rsidR="00D7257A" w:rsidRDefault="00D7257A" w:rsidP="00D7257A"/>
    <w:tbl>
      <w:tblPr>
        <w:tblW w:w="10348" w:type="dxa"/>
        <w:tblInd w:w="-497"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268"/>
        <w:gridCol w:w="1276"/>
        <w:gridCol w:w="1225"/>
        <w:gridCol w:w="1614"/>
        <w:gridCol w:w="1956"/>
        <w:gridCol w:w="2009"/>
      </w:tblGrid>
      <w:tr w:rsidR="00D7257A" w:rsidRPr="00A22E25" w:rsidTr="00D67DE1">
        <w:tc>
          <w:tcPr>
            <w:tcW w:w="2268" w:type="dxa"/>
            <w:tcBorders>
              <w:bottom w:val="single" w:sz="18" w:space="0" w:color="auto"/>
            </w:tcBorders>
          </w:tcPr>
          <w:p w:rsidR="00D7257A" w:rsidRPr="00D60F63" w:rsidRDefault="00D7257A" w:rsidP="00306013">
            <w:pPr>
              <w:ind w:left="57"/>
              <w:rPr>
                <w:rFonts w:eastAsia="Arial Unicode MS" w:cs="Arial"/>
                <w:bCs/>
              </w:rPr>
            </w:pPr>
            <w:r>
              <w:rPr>
                <w:rFonts w:eastAsia="Arial" w:cs="Arial"/>
                <w:bCs/>
                <w:szCs w:val="20"/>
                <w:bdr w:val="nil"/>
                <w:lang w:val="nl-BE"/>
              </w:rPr>
              <w:t>Type dossiers</w:t>
            </w:r>
          </w:p>
        </w:tc>
        <w:tc>
          <w:tcPr>
            <w:tcW w:w="1276" w:type="dxa"/>
            <w:tcBorders>
              <w:bottom w:val="single" w:sz="18" w:space="0" w:color="auto"/>
            </w:tcBorders>
            <w:shd w:val="clear" w:color="auto" w:fill="auto"/>
          </w:tcPr>
          <w:p w:rsidR="00D7257A" w:rsidRPr="00D60F63" w:rsidRDefault="00D7257A" w:rsidP="00306013">
            <w:pPr>
              <w:ind w:left="57"/>
              <w:jc w:val="center"/>
              <w:rPr>
                <w:rFonts w:eastAsia="Arial Unicode MS" w:cs="Arial"/>
                <w:bCs/>
              </w:rPr>
            </w:pPr>
            <w:r>
              <w:rPr>
                <w:rFonts w:eastAsia="Arial" w:cs="Arial"/>
                <w:bCs/>
                <w:szCs w:val="20"/>
                <w:bdr w:val="nil"/>
                <w:lang w:val="nl-BE"/>
              </w:rPr>
              <w:t xml:space="preserve">Aantal ingediende dossiers </w:t>
            </w:r>
          </w:p>
        </w:tc>
        <w:tc>
          <w:tcPr>
            <w:tcW w:w="1225" w:type="dxa"/>
            <w:tcBorders>
              <w:bottom w:val="single" w:sz="18" w:space="0" w:color="auto"/>
            </w:tcBorders>
            <w:shd w:val="clear" w:color="auto" w:fill="auto"/>
          </w:tcPr>
          <w:p w:rsidR="00D7257A" w:rsidRPr="00A22E25" w:rsidRDefault="00D7257A" w:rsidP="00306013">
            <w:pPr>
              <w:ind w:left="57"/>
              <w:jc w:val="center"/>
              <w:rPr>
                <w:rFonts w:eastAsia="Arial Unicode MS" w:cs="Arial"/>
                <w:bCs/>
                <w:lang w:val="nl-BE"/>
              </w:rPr>
            </w:pPr>
            <w:r>
              <w:rPr>
                <w:rFonts w:eastAsia="Arial" w:cs="Arial"/>
                <w:bCs/>
                <w:szCs w:val="20"/>
                <w:bdr w:val="nil"/>
                <w:lang w:val="nl-BE"/>
              </w:rPr>
              <w:t>Totaal aantal dossiers met een beslissing</w:t>
            </w:r>
          </w:p>
        </w:tc>
        <w:tc>
          <w:tcPr>
            <w:tcW w:w="1614" w:type="dxa"/>
            <w:tcBorders>
              <w:bottom w:val="single" w:sz="18" w:space="0" w:color="auto"/>
            </w:tcBorders>
          </w:tcPr>
          <w:p w:rsidR="00D7257A" w:rsidRPr="00A22E25" w:rsidRDefault="00D67DE1" w:rsidP="00D67DE1">
            <w:pPr>
              <w:ind w:left="57"/>
              <w:jc w:val="center"/>
              <w:rPr>
                <w:rFonts w:eastAsia="Arial Unicode MS" w:cs="Arial"/>
                <w:bCs/>
                <w:lang w:val="nl-BE"/>
              </w:rPr>
            </w:pPr>
            <w:r>
              <w:rPr>
                <w:rFonts w:eastAsia="Arial" w:cs="Arial"/>
                <w:bCs/>
                <w:szCs w:val="20"/>
                <w:bdr w:val="nil"/>
                <w:lang w:val="nl-BE"/>
              </w:rPr>
              <w:t>Beslissingen tot toekenningen</w:t>
            </w:r>
          </w:p>
        </w:tc>
        <w:tc>
          <w:tcPr>
            <w:tcW w:w="1956" w:type="dxa"/>
            <w:tcBorders>
              <w:bottom w:val="single" w:sz="18" w:space="0" w:color="auto"/>
            </w:tcBorders>
          </w:tcPr>
          <w:p w:rsidR="00D7257A" w:rsidRPr="00A22E25" w:rsidRDefault="00D67DE1" w:rsidP="00306013">
            <w:pPr>
              <w:ind w:left="57"/>
              <w:jc w:val="center"/>
              <w:rPr>
                <w:rFonts w:eastAsia="Arial Unicode MS" w:cs="Arial"/>
                <w:bCs/>
                <w:lang w:val="nl-BE"/>
              </w:rPr>
            </w:pPr>
            <w:r>
              <w:rPr>
                <w:rFonts w:eastAsia="Arial" w:cs="Arial"/>
                <w:bCs/>
                <w:szCs w:val="20"/>
                <w:bdr w:val="nil"/>
                <w:lang w:val="nl-BE"/>
              </w:rPr>
              <w:t>Beslissingen tot weigeringen</w:t>
            </w:r>
          </w:p>
        </w:tc>
        <w:tc>
          <w:tcPr>
            <w:tcW w:w="2009" w:type="dxa"/>
            <w:tcBorders>
              <w:bottom w:val="single" w:sz="18" w:space="0" w:color="auto"/>
            </w:tcBorders>
            <w:shd w:val="clear" w:color="auto" w:fill="auto"/>
          </w:tcPr>
          <w:p w:rsidR="00D7257A" w:rsidRPr="00A22E25" w:rsidRDefault="00D7257A" w:rsidP="00306013">
            <w:pPr>
              <w:ind w:left="57"/>
              <w:jc w:val="center"/>
              <w:rPr>
                <w:rFonts w:eastAsia="Arial Unicode MS" w:cs="Arial"/>
                <w:bCs/>
                <w:lang w:val="nl-BE"/>
              </w:rPr>
            </w:pPr>
            <w:r>
              <w:rPr>
                <w:rFonts w:eastAsia="Arial" w:cs="Arial"/>
                <w:bCs/>
                <w:szCs w:val="20"/>
                <w:bdr w:val="nil"/>
                <w:lang w:val="nl-BE"/>
              </w:rPr>
              <w:t>Bedrag van de premies in €</w:t>
            </w:r>
          </w:p>
        </w:tc>
      </w:tr>
      <w:tr w:rsidR="00D7257A" w:rsidTr="00D67DE1">
        <w:tc>
          <w:tcPr>
            <w:tcW w:w="2268" w:type="dxa"/>
            <w:tcBorders>
              <w:top w:val="dotted" w:sz="4" w:space="0" w:color="auto"/>
              <w:bottom w:val="dotted" w:sz="4" w:space="0" w:color="auto"/>
            </w:tcBorders>
          </w:tcPr>
          <w:p w:rsidR="00D7257A" w:rsidRPr="00262071" w:rsidRDefault="00D7257A" w:rsidP="00306013">
            <w:pPr>
              <w:rPr>
                <w:rFonts w:eastAsia="Arial Unicode MS" w:cs="Arial"/>
              </w:rPr>
            </w:pPr>
            <w:r>
              <w:rPr>
                <w:rFonts w:eastAsia="Arial" w:cs="Arial"/>
                <w:szCs w:val="20"/>
                <w:bdr w:val="nil"/>
                <w:lang w:val="nl-BE"/>
              </w:rPr>
              <w:t xml:space="preserve">Pre-activiteit </w:t>
            </w:r>
          </w:p>
        </w:tc>
        <w:tc>
          <w:tcPr>
            <w:tcW w:w="1276" w:type="dxa"/>
            <w:tcBorders>
              <w:top w:val="dotted" w:sz="4" w:space="0" w:color="auto"/>
              <w:bottom w:val="dotted" w:sz="4" w:space="0" w:color="auto"/>
            </w:tcBorders>
            <w:shd w:val="clear" w:color="auto" w:fill="auto"/>
          </w:tcPr>
          <w:p w:rsidR="00D7257A" w:rsidRPr="00262071" w:rsidRDefault="00D7257A" w:rsidP="00306013">
            <w:pPr>
              <w:jc w:val="center"/>
              <w:rPr>
                <w:rFonts w:eastAsia="Arial Unicode MS" w:cs="Arial"/>
              </w:rPr>
            </w:pPr>
            <w:r>
              <w:rPr>
                <w:rFonts w:eastAsia="Arial Unicode MS" w:cs="Arial"/>
              </w:rPr>
              <w:t>25</w:t>
            </w:r>
          </w:p>
        </w:tc>
        <w:tc>
          <w:tcPr>
            <w:tcW w:w="1225" w:type="dxa"/>
            <w:tcBorders>
              <w:top w:val="dotted" w:sz="4" w:space="0" w:color="auto"/>
              <w:bottom w:val="dotted" w:sz="4" w:space="0" w:color="auto"/>
            </w:tcBorders>
            <w:shd w:val="clear" w:color="auto" w:fill="auto"/>
          </w:tcPr>
          <w:p w:rsidR="00D7257A" w:rsidRPr="00262071" w:rsidRDefault="00D7257A" w:rsidP="00306013">
            <w:pPr>
              <w:jc w:val="center"/>
              <w:rPr>
                <w:rFonts w:eastAsia="Arial Unicode MS" w:cs="Arial"/>
              </w:rPr>
            </w:pPr>
            <w:r>
              <w:rPr>
                <w:rFonts w:eastAsia="Arial Unicode MS" w:cs="Arial"/>
              </w:rPr>
              <w:t>22</w:t>
            </w:r>
          </w:p>
        </w:tc>
        <w:tc>
          <w:tcPr>
            <w:tcW w:w="1614" w:type="dxa"/>
            <w:tcBorders>
              <w:top w:val="dotted" w:sz="4" w:space="0" w:color="auto"/>
              <w:bottom w:val="dotted" w:sz="4" w:space="0" w:color="auto"/>
            </w:tcBorders>
          </w:tcPr>
          <w:p w:rsidR="00D7257A" w:rsidRPr="00262071" w:rsidRDefault="00D7257A" w:rsidP="00306013">
            <w:pPr>
              <w:jc w:val="center"/>
              <w:rPr>
                <w:rFonts w:eastAsia="Arial Unicode MS" w:cs="Arial"/>
              </w:rPr>
            </w:pPr>
            <w:r>
              <w:rPr>
                <w:rFonts w:eastAsia="Arial Unicode MS" w:cs="Arial"/>
              </w:rPr>
              <w:t>18</w:t>
            </w:r>
          </w:p>
        </w:tc>
        <w:tc>
          <w:tcPr>
            <w:tcW w:w="1956" w:type="dxa"/>
            <w:tcBorders>
              <w:top w:val="dotted" w:sz="4" w:space="0" w:color="auto"/>
              <w:bottom w:val="dotted" w:sz="4" w:space="0" w:color="auto"/>
            </w:tcBorders>
          </w:tcPr>
          <w:p w:rsidR="00D7257A" w:rsidRPr="00262071" w:rsidRDefault="00D7257A" w:rsidP="00306013">
            <w:pPr>
              <w:jc w:val="center"/>
              <w:rPr>
                <w:rFonts w:eastAsia="Arial Unicode MS" w:cs="Arial"/>
              </w:rPr>
            </w:pPr>
            <w:r>
              <w:rPr>
                <w:rFonts w:eastAsia="Arial Unicode MS" w:cs="Arial"/>
              </w:rPr>
              <w:t>4</w:t>
            </w:r>
          </w:p>
        </w:tc>
        <w:tc>
          <w:tcPr>
            <w:tcW w:w="2009" w:type="dxa"/>
            <w:tcBorders>
              <w:top w:val="dotted" w:sz="4" w:space="0" w:color="auto"/>
              <w:bottom w:val="dotted" w:sz="4" w:space="0" w:color="auto"/>
            </w:tcBorders>
            <w:shd w:val="clear" w:color="auto" w:fill="auto"/>
          </w:tcPr>
          <w:p w:rsidR="00D7257A" w:rsidRPr="00262071" w:rsidRDefault="00D7257A" w:rsidP="00306013">
            <w:pPr>
              <w:jc w:val="right"/>
              <w:rPr>
                <w:rFonts w:eastAsia="Arial Unicode MS" w:cs="Arial"/>
              </w:rPr>
            </w:pPr>
            <w:r>
              <w:rPr>
                <w:rFonts w:eastAsia="Arial Unicode MS" w:cs="Arial"/>
              </w:rPr>
              <w:t>102.076,88</w:t>
            </w:r>
          </w:p>
        </w:tc>
      </w:tr>
      <w:tr w:rsidR="00D7257A" w:rsidTr="00D67DE1">
        <w:tc>
          <w:tcPr>
            <w:tcW w:w="2268" w:type="dxa"/>
            <w:tcBorders>
              <w:top w:val="dotted" w:sz="4" w:space="0" w:color="auto"/>
              <w:bottom w:val="dotted" w:sz="4" w:space="0" w:color="auto"/>
            </w:tcBorders>
          </w:tcPr>
          <w:p w:rsidR="00D7257A" w:rsidRPr="00262071" w:rsidRDefault="00D7257A" w:rsidP="00306013">
            <w:pPr>
              <w:rPr>
                <w:rFonts w:eastAsia="Arial Unicode MS" w:cs="Arial"/>
              </w:rPr>
            </w:pPr>
            <w:r>
              <w:rPr>
                <w:rFonts w:eastAsia="Arial" w:cs="Arial"/>
                <w:szCs w:val="20"/>
                <w:bdr w:val="nil"/>
                <w:lang w:val="nl-BE"/>
              </w:rPr>
              <w:t xml:space="preserve">Advies </w:t>
            </w:r>
          </w:p>
        </w:tc>
        <w:tc>
          <w:tcPr>
            <w:tcW w:w="1276" w:type="dxa"/>
            <w:tcBorders>
              <w:top w:val="dotted" w:sz="4" w:space="0" w:color="auto"/>
              <w:bottom w:val="dotted" w:sz="4" w:space="0" w:color="auto"/>
            </w:tcBorders>
            <w:shd w:val="clear" w:color="auto" w:fill="auto"/>
          </w:tcPr>
          <w:p w:rsidR="00D7257A" w:rsidRPr="00262071" w:rsidRDefault="00D7257A" w:rsidP="00306013">
            <w:pPr>
              <w:jc w:val="center"/>
              <w:rPr>
                <w:rFonts w:eastAsia="Arial Unicode MS" w:cs="Arial"/>
              </w:rPr>
            </w:pPr>
            <w:r>
              <w:rPr>
                <w:rFonts w:eastAsia="Arial Unicode MS" w:cs="Arial"/>
              </w:rPr>
              <w:t>1185</w:t>
            </w:r>
          </w:p>
        </w:tc>
        <w:tc>
          <w:tcPr>
            <w:tcW w:w="1225" w:type="dxa"/>
            <w:tcBorders>
              <w:top w:val="dotted" w:sz="4" w:space="0" w:color="auto"/>
              <w:bottom w:val="dotted" w:sz="4" w:space="0" w:color="auto"/>
            </w:tcBorders>
            <w:shd w:val="clear" w:color="auto" w:fill="auto"/>
          </w:tcPr>
          <w:p w:rsidR="00D7257A" w:rsidRPr="00262071" w:rsidRDefault="00D7257A" w:rsidP="00306013">
            <w:pPr>
              <w:jc w:val="center"/>
              <w:rPr>
                <w:rFonts w:eastAsia="Arial Unicode MS" w:cs="Arial"/>
              </w:rPr>
            </w:pPr>
            <w:r>
              <w:rPr>
                <w:rFonts w:eastAsia="Arial Unicode MS" w:cs="Arial"/>
              </w:rPr>
              <w:t>990</w:t>
            </w:r>
          </w:p>
        </w:tc>
        <w:tc>
          <w:tcPr>
            <w:tcW w:w="1614" w:type="dxa"/>
            <w:tcBorders>
              <w:top w:val="dotted" w:sz="4" w:space="0" w:color="auto"/>
              <w:bottom w:val="dotted" w:sz="4" w:space="0" w:color="auto"/>
            </w:tcBorders>
          </w:tcPr>
          <w:p w:rsidR="00D7257A" w:rsidRPr="00262071" w:rsidRDefault="00D7257A" w:rsidP="00306013">
            <w:pPr>
              <w:jc w:val="center"/>
              <w:rPr>
                <w:rFonts w:eastAsia="Arial Unicode MS" w:cs="Arial"/>
              </w:rPr>
            </w:pPr>
            <w:r>
              <w:rPr>
                <w:rFonts w:eastAsia="Arial Unicode MS" w:cs="Arial"/>
              </w:rPr>
              <w:t>824</w:t>
            </w:r>
          </w:p>
        </w:tc>
        <w:tc>
          <w:tcPr>
            <w:tcW w:w="1956" w:type="dxa"/>
            <w:tcBorders>
              <w:top w:val="dotted" w:sz="4" w:space="0" w:color="auto"/>
              <w:bottom w:val="dotted" w:sz="4" w:space="0" w:color="auto"/>
            </w:tcBorders>
          </w:tcPr>
          <w:p w:rsidR="00D7257A" w:rsidRPr="00262071" w:rsidRDefault="00D7257A" w:rsidP="00306013">
            <w:pPr>
              <w:jc w:val="center"/>
              <w:rPr>
                <w:rFonts w:eastAsia="Arial Unicode MS" w:cs="Arial"/>
              </w:rPr>
            </w:pPr>
            <w:r>
              <w:rPr>
                <w:rFonts w:eastAsia="Arial Unicode MS" w:cs="Arial"/>
              </w:rPr>
              <w:t>166</w:t>
            </w:r>
          </w:p>
        </w:tc>
        <w:tc>
          <w:tcPr>
            <w:tcW w:w="2009" w:type="dxa"/>
            <w:tcBorders>
              <w:top w:val="dotted" w:sz="4" w:space="0" w:color="auto"/>
              <w:bottom w:val="dotted" w:sz="4" w:space="0" w:color="auto"/>
            </w:tcBorders>
            <w:shd w:val="clear" w:color="auto" w:fill="auto"/>
          </w:tcPr>
          <w:p w:rsidR="00D7257A" w:rsidRPr="00262071" w:rsidRDefault="00D7257A" w:rsidP="00306013">
            <w:pPr>
              <w:jc w:val="right"/>
              <w:rPr>
                <w:rFonts w:eastAsia="Arial Unicode MS" w:cs="Arial"/>
              </w:rPr>
            </w:pPr>
            <w:r>
              <w:rPr>
                <w:rFonts w:eastAsia="Arial Unicode MS" w:cs="Arial"/>
              </w:rPr>
              <w:t>6.816.966,60</w:t>
            </w:r>
          </w:p>
        </w:tc>
      </w:tr>
      <w:tr w:rsidR="00D7257A" w:rsidTr="00D67DE1">
        <w:tc>
          <w:tcPr>
            <w:tcW w:w="2268" w:type="dxa"/>
            <w:tcBorders>
              <w:top w:val="dotted" w:sz="4" w:space="0" w:color="auto"/>
              <w:bottom w:val="dotted" w:sz="4" w:space="0" w:color="auto"/>
            </w:tcBorders>
          </w:tcPr>
          <w:p w:rsidR="00D7257A" w:rsidRPr="00262071" w:rsidRDefault="00D7257A" w:rsidP="00306013">
            <w:pPr>
              <w:rPr>
                <w:rFonts w:eastAsia="Arial Unicode MS" w:cs="Arial"/>
              </w:rPr>
            </w:pPr>
            <w:r>
              <w:rPr>
                <w:rFonts w:eastAsia="Arial" w:cs="Arial"/>
                <w:szCs w:val="20"/>
                <w:bdr w:val="nil"/>
                <w:lang w:val="nl-BE"/>
              </w:rPr>
              <w:t>Studies</w:t>
            </w:r>
          </w:p>
        </w:tc>
        <w:tc>
          <w:tcPr>
            <w:tcW w:w="1276" w:type="dxa"/>
            <w:tcBorders>
              <w:top w:val="dotted" w:sz="4" w:space="0" w:color="auto"/>
              <w:bottom w:val="dotted" w:sz="4" w:space="0" w:color="auto"/>
            </w:tcBorders>
            <w:shd w:val="clear" w:color="auto" w:fill="auto"/>
          </w:tcPr>
          <w:p w:rsidR="00D7257A" w:rsidRDefault="00D7257A" w:rsidP="00306013">
            <w:pPr>
              <w:jc w:val="center"/>
              <w:rPr>
                <w:rFonts w:eastAsia="Arial Unicode MS" w:cs="Arial"/>
              </w:rPr>
            </w:pPr>
            <w:r>
              <w:rPr>
                <w:rFonts w:eastAsia="Arial Unicode MS" w:cs="Arial"/>
              </w:rPr>
              <w:t>66</w:t>
            </w:r>
          </w:p>
        </w:tc>
        <w:tc>
          <w:tcPr>
            <w:tcW w:w="1225" w:type="dxa"/>
            <w:tcBorders>
              <w:top w:val="dotted" w:sz="4" w:space="0" w:color="auto"/>
              <w:bottom w:val="dotted" w:sz="4" w:space="0" w:color="auto"/>
            </w:tcBorders>
            <w:shd w:val="clear" w:color="auto" w:fill="auto"/>
          </w:tcPr>
          <w:p w:rsidR="00D7257A" w:rsidRDefault="00D7257A" w:rsidP="00306013">
            <w:pPr>
              <w:jc w:val="center"/>
              <w:rPr>
                <w:rFonts w:eastAsia="Arial Unicode MS" w:cs="Arial"/>
              </w:rPr>
            </w:pPr>
            <w:r>
              <w:rPr>
                <w:rFonts w:eastAsia="Arial Unicode MS" w:cs="Arial"/>
              </w:rPr>
              <w:t>50</w:t>
            </w:r>
          </w:p>
        </w:tc>
        <w:tc>
          <w:tcPr>
            <w:tcW w:w="1614" w:type="dxa"/>
            <w:tcBorders>
              <w:top w:val="dotted" w:sz="4" w:space="0" w:color="auto"/>
              <w:bottom w:val="dotted" w:sz="4" w:space="0" w:color="auto"/>
            </w:tcBorders>
          </w:tcPr>
          <w:p w:rsidR="00D7257A" w:rsidRDefault="00D7257A" w:rsidP="00306013">
            <w:pPr>
              <w:jc w:val="center"/>
              <w:rPr>
                <w:rFonts w:eastAsia="Arial Unicode MS" w:cs="Arial"/>
              </w:rPr>
            </w:pPr>
            <w:r>
              <w:rPr>
                <w:rFonts w:eastAsia="Arial Unicode MS" w:cs="Arial"/>
              </w:rPr>
              <w:t>45</w:t>
            </w:r>
          </w:p>
        </w:tc>
        <w:tc>
          <w:tcPr>
            <w:tcW w:w="1956" w:type="dxa"/>
            <w:tcBorders>
              <w:top w:val="dotted" w:sz="4" w:space="0" w:color="auto"/>
              <w:bottom w:val="dotted" w:sz="4" w:space="0" w:color="auto"/>
            </w:tcBorders>
          </w:tcPr>
          <w:p w:rsidR="00D7257A" w:rsidRDefault="00D7257A" w:rsidP="00306013">
            <w:pPr>
              <w:jc w:val="center"/>
              <w:rPr>
                <w:rFonts w:eastAsia="Arial Unicode MS" w:cs="Arial"/>
              </w:rPr>
            </w:pPr>
            <w:r>
              <w:rPr>
                <w:rFonts w:eastAsia="Arial Unicode MS" w:cs="Arial"/>
              </w:rPr>
              <w:t>5</w:t>
            </w:r>
          </w:p>
        </w:tc>
        <w:tc>
          <w:tcPr>
            <w:tcW w:w="2009" w:type="dxa"/>
            <w:tcBorders>
              <w:top w:val="dotted" w:sz="4" w:space="0" w:color="auto"/>
              <w:bottom w:val="dotted" w:sz="4" w:space="0" w:color="auto"/>
            </w:tcBorders>
            <w:shd w:val="clear" w:color="auto" w:fill="auto"/>
          </w:tcPr>
          <w:p w:rsidR="00D7257A" w:rsidRDefault="00D7257A" w:rsidP="00306013">
            <w:pPr>
              <w:jc w:val="right"/>
              <w:rPr>
                <w:rFonts w:eastAsia="Arial Unicode MS" w:cs="Arial"/>
              </w:rPr>
            </w:pPr>
            <w:r>
              <w:rPr>
                <w:rFonts w:eastAsia="Arial Unicode MS" w:cs="Arial"/>
              </w:rPr>
              <w:t>305.920,33</w:t>
            </w:r>
          </w:p>
        </w:tc>
      </w:tr>
      <w:tr w:rsidR="00D7257A" w:rsidTr="00D67DE1">
        <w:tc>
          <w:tcPr>
            <w:tcW w:w="2268" w:type="dxa"/>
            <w:tcBorders>
              <w:top w:val="dotted" w:sz="4" w:space="0" w:color="auto"/>
              <w:bottom w:val="dotted" w:sz="4" w:space="0" w:color="auto"/>
            </w:tcBorders>
          </w:tcPr>
          <w:p w:rsidR="00D7257A" w:rsidRPr="00262071" w:rsidRDefault="00D7257A" w:rsidP="00306013">
            <w:pPr>
              <w:rPr>
                <w:rFonts w:eastAsia="Arial Unicode MS" w:cs="Arial"/>
              </w:rPr>
            </w:pPr>
            <w:r>
              <w:rPr>
                <w:rFonts w:eastAsia="Arial" w:cs="Arial"/>
                <w:szCs w:val="20"/>
                <w:bdr w:val="nil"/>
                <w:lang w:val="nl-BE"/>
              </w:rPr>
              <w:t>Externe opleiding</w:t>
            </w:r>
          </w:p>
        </w:tc>
        <w:tc>
          <w:tcPr>
            <w:tcW w:w="1276" w:type="dxa"/>
            <w:tcBorders>
              <w:top w:val="dotted" w:sz="4" w:space="0" w:color="auto"/>
              <w:bottom w:val="dotted" w:sz="4" w:space="0" w:color="auto"/>
            </w:tcBorders>
            <w:shd w:val="clear" w:color="auto" w:fill="auto"/>
          </w:tcPr>
          <w:p w:rsidR="00D7257A" w:rsidRPr="00262071" w:rsidRDefault="00D7257A" w:rsidP="00306013">
            <w:pPr>
              <w:jc w:val="center"/>
              <w:rPr>
                <w:rFonts w:eastAsia="Arial Unicode MS" w:cs="Arial"/>
              </w:rPr>
            </w:pPr>
            <w:r>
              <w:rPr>
                <w:rFonts w:eastAsia="Arial Unicode MS" w:cs="Arial"/>
              </w:rPr>
              <w:t>1031</w:t>
            </w:r>
          </w:p>
        </w:tc>
        <w:tc>
          <w:tcPr>
            <w:tcW w:w="1225" w:type="dxa"/>
            <w:tcBorders>
              <w:top w:val="dotted" w:sz="4" w:space="0" w:color="auto"/>
              <w:bottom w:val="dotted" w:sz="4" w:space="0" w:color="auto"/>
            </w:tcBorders>
            <w:shd w:val="clear" w:color="auto" w:fill="auto"/>
          </w:tcPr>
          <w:p w:rsidR="00D7257A" w:rsidRPr="00262071" w:rsidRDefault="00D7257A" w:rsidP="00306013">
            <w:pPr>
              <w:jc w:val="center"/>
              <w:rPr>
                <w:rFonts w:eastAsia="Arial Unicode MS" w:cs="Arial"/>
              </w:rPr>
            </w:pPr>
            <w:r>
              <w:rPr>
                <w:rFonts w:eastAsia="Arial Unicode MS" w:cs="Arial"/>
              </w:rPr>
              <w:t>1045</w:t>
            </w:r>
          </w:p>
        </w:tc>
        <w:tc>
          <w:tcPr>
            <w:tcW w:w="1614" w:type="dxa"/>
            <w:tcBorders>
              <w:top w:val="dotted" w:sz="4" w:space="0" w:color="auto"/>
              <w:bottom w:val="dotted" w:sz="4" w:space="0" w:color="auto"/>
            </w:tcBorders>
          </w:tcPr>
          <w:p w:rsidR="00D7257A" w:rsidRPr="00262071" w:rsidRDefault="00D7257A" w:rsidP="00306013">
            <w:pPr>
              <w:jc w:val="center"/>
              <w:rPr>
                <w:rFonts w:eastAsia="Arial Unicode MS" w:cs="Arial"/>
              </w:rPr>
            </w:pPr>
            <w:r>
              <w:rPr>
                <w:rFonts w:eastAsia="Arial Unicode MS" w:cs="Arial"/>
              </w:rPr>
              <w:t>791</w:t>
            </w:r>
          </w:p>
        </w:tc>
        <w:tc>
          <w:tcPr>
            <w:tcW w:w="1956" w:type="dxa"/>
            <w:tcBorders>
              <w:top w:val="dotted" w:sz="4" w:space="0" w:color="auto"/>
              <w:bottom w:val="dotted" w:sz="4" w:space="0" w:color="auto"/>
            </w:tcBorders>
          </w:tcPr>
          <w:p w:rsidR="00D7257A" w:rsidRPr="00262071" w:rsidRDefault="00D7257A" w:rsidP="00306013">
            <w:pPr>
              <w:jc w:val="center"/>
              <w:rPr>
                <w:rFonts w:eastAsia="Arial Unicode MS" w:cs="Arial"/>
              </w:rPr>
            </w:pPr>
            <w:r>
              <w:rPr>
                <w:rFonts w:eastAsia="Arial Unicode MS" w:cs="Arial"/>
              </w:rPr>
              <w:t>254</w:t>
            </w:r>
          </w:p>
        </w:tc>
        <w:tc>
          <w:tcPr>
            <w:tcW w:w="2009" w:type="dxa"/>
            <w:tcBorders>
              <w:top w:val="dotted" w:sz="4" w:space="0" w:color="auto"/>
              <w:bottom w:val="dotted" w:sz="4" w:space="0" w:color="auto"/>
            </w:tcBorders>
            <w:shd w:val="clear" w:color="auto" w:fill="auto"/>
          </w:tcPr>
          <w:p w:rsidR="00D7257A" w:rsidRPr="00262071" w:rsidRDefault="00D7257A" w:rsidP="00306013">
            <w:pPr>
              <w:jc w:val="right"/>
              <w:rPr>
                <w:rFonts w:eastAsia="Arial Unicode MS" w:cs="Arial"/>
              </w:rPr>
            </w:pPr>
            <w:r>
              <w:rPr>
                <w:rFonts w:eastAsia="Arial Unicode MS" w:cs="Arial"/>
              </w:rPr>
              <w:t>1.263.475,99</w:t>
            </w:r>
          </w:p>
        </w:tc>
      </w:tr>
      <w:tr w:rsidR="00D7257A" w:rsidTr="00D67DE1">
        <w:tc>
          <w:tcPr>
            <w:tcW w:w="2268" w:type="dxa"/>
            <w:tcBorders>
              <w:top w:val="dotted" w:sz="4" w:space="0" w:color="auto"/>
              <w:bottom w:val="dotted" w:sz="4" w:space="0" w:color="auto"/>
            </w:tcBorders>
          </w:tcPr>
          <w:p w:rsidR="00D7257A" w:rsidRPr="00262071" w:rsidRDefault="00D7257A" w:rsidP="00306013">
            <w:pPr>
              <w:rPr>
                <w:rFonts w:eastAsia="Arial Unicode MS" w:cs="Arial"/>
              </w:rPr>
            </w:pPr>
            <w:r>
              <w:rPr>
                <w:rFonts w:eastAsia="Arial" w:cs="Arial"/>
                <w:szCs w:val="20"/>
                <w:bdr w:val="nil"/>
                <w:lang w:val="nl-BE"/>
              </w:rPr>
              <w:t>IBO-peterschap</w:t>
            </w:r>
          </w:p>
        </w:tc>
        <w:tc>
          <w:tcPr>
            <w:tcW w:w="1276" w:type="dxa"/>
            <w:tcBorders>
              <w:top w:val="dotted" w:sz="4" w:space="0" w:color="auto"/>
              <w:bottom w:val="dotted" w:sz="4" w:space="0" w:color="auto"/>
            </w:tcBorders>
            <w:shd w:val="clear" w:color="auto" w:fill="auto"/>
          </w:tcPr>
          <w:p w:rsidR="00D7257A" w:rsidRPr="00262071" w:rsidRDefault="00D7257A" w:rsidP="00306013">
            <w:pPr>
              <w:jc w:val="center"/>
              <w:rPr>
                <w:rFonts w:eastAsia="Arial Unicode MS" w:cs="Arial"/>
              </w:rPr>
            </w:pPr>
            <w:r>
              <w:rPr>
                <w:rFonts w:eastAsia="Arial Unicode MS" w:cs="Arial"/>
              </w:rPr>
              <w:t>68</w:t>
            </w:r>
          </w:p>
        </w:tc>
        <w:tc>
          <w:tcPr>
            <w:tcW w:w="1225" w:type="dxa"/>
            <w:tcBorders>
              <w:top w:val="dotted" w:sz="4" w:space="0" w:color="auto"/>
              <w:bottom w:val="dotted" w:sz="4" w:space="0" w:color="auto"/>
            </w:tcBorders>
            <w:shd w:val="clear" w:color="auto" w:fill="auto"/>
          </w:tcPr>
          <w:p w:rsidR="00D7257A" w:rsidRPr="00262071" w:rsidRDefault="00D7257A" w:rsidP="00306013">
            <w:pPr>
              <w:jc w:val="center"/>
              <w:rPr>
                <w:rFonts w:eastAsia="Arial Unicode MS" w:cs="Arial"/>
              </w:rPr>
            </w:pPr>
            <w:r>
              <w:rPr>
                <w:rFonts w:eastAsia="Arial Unicode MS" w:cs="Arial"/>
              </w:rPr>
              <w:t>63</w:t>
            </w:r>
          </w:p>
        </w:tc>
        <w:tc>
          <w:tcPr>
            <w:tcW w:w="1614" w:type="dxa"/>
            <w:tcBorders>
              <w:top w:val="dotted" w:sz="4" w:space="0" w:color="auto"/>
              <w:bottom w:val="dotted" w:sz="4" w:space="0" w:color="auto"/>
            </w:tcBorders>
          </w:tcPr>
          <w:p w:rsidR="00D7257A" w:rsidRPr="00262071" w:rsidRDefault="00D7257A" w:rsidP="00306013">
            <w:pPr>
              <w:jc w:val="center"/>
              <w:rPr>
                <w:rFonts w:eastAsia="Arial Unicode MS" w:cs="Arial"/>
              </w:rPr>
            </w:pPr>
            <w:r>
              <w:rPr>
                <w:rFonts w:eastAsia="Arial Unicode MS" w:cs="Arial"/>
              </w:rPr>
              <w:t>51</w:t>
            </w:r>
          </w:p>
        </w:tc>
        <w:tc>
          <w:tcPr>
            <w:tcW w:w="1956" w:type="dxa"/>
            <w:tcBorders>
              <w:top w:val="dotted" w:sz="4" w:space="0" w:color="auto"/>
              <w:bottom w:val="dotted" w:sz="4" w:space="0" w:color="auto"/>
            </w:tcBorders>
          </w:tcPr>
          <w:p w:rsidR="00D7257A" w:rsidRPr="00262071" w:rsidRDefault="00D7257A" w:rsidP="00306013">
            <w:pPr>
              <w:jc w:val="center"/>
              <w:rPr>
                <w:rFonts w:eastAsia="Arial Unicode MS" w:cs="Arial"/>
              </w:rPr>
            </w:pPr>
            <w:r>
              <w:rPr>
                <w:rFonts w:eastAsia="Arial Unicode MS" w:cs="Arial"/>
              </w:rPr>
              <w:t>12</w:t>
            </w:r>
          </w:p>
        </w:tc>
        <w:tc>
          <w:tcPr>
            <w:tcW w:w="2009" w:type="dxa"/>
            <w:tcBorders>
              <w:top w:val="dotted" w:sz="4" w:space="0" w:color="auto"/>
              <w:bottom w:val="dotted" w:sz="4" w:space="0" w:color="auto"/>
            </w:tcBorders>
            <w:shd w:val="clear" w:color="auto" w:fill="auto"/>
          </w:tcPr>
          <w:p w:rsidR="00D7257A" w:rsidRPr="00262071" w:rsidRDefault="00D7257A" w:rsidP="00306013">
            <w:pPr>
              <w:jc w:val="right"/>
              <w:rPr>
                <w:rFonts w:eastAsia="Arial Unicode MS" w:cs="Arial"/>
              </w:rPr>
            </w:pPr>
            <w:r>
              <w:rPr>
                <w:rFonts w:eastAsia="Arial Unicode MS" w:cs="Arial"/>
              </w:rPr>
              <w:t>254.000</w:t>
            </w:r>
          </w:p>
        </w:tc>
      </w:tr>
      <w:tr w:rsidR="00D7257A" w:rsidTr="00D67DE1">
        <w:tc>
          <w:tcPr>
            <w:tcW w:w="2268" w:type="dxa"/>
            <w:tcBorders>
              <w:top w:val="dotted" w:sz="4" w:space="0" w:color="auto"/>
              <w:bottom w:val="dotted" w:sz="4" w:space="0" w:color="auto"/>
            </w:tcBorders>
          </w:tcPr>
          <w:p w:rsidR="00D7257A" w:rsidRPr="00262071" w:rsidRDefault="00D7257A" w:rsidP="00306013">
            <w:pPr>
              <w:rPr>
                <w:rFonts w:eastAsia="Arial Unicode MS" w:cs="Arial"/>
              </w:rPr>
            </w:pPr>
            <w:r>
              <w:rPr>
                <w:rFonts w:eastAsia="Arial" w:cs="Arial"/>
                <w:szCs w:val="20"/>
                <w:bdr w:val="nil"/>
                <w:lang w:val="nl-BE"/>
              </w:rPr>
              <w:t>Terbeschikkingstelling</w:t>
            </w:r>
          </w:p>
        </w:tc>
        <w:tc>
          <w:tcPr>
            <w:tcW w:w="1276" w:type="dxa"/>
            <w:tcBorders>
              <w:top w:val="dotted" w:sz="4" w:space="0" w:color="auto"/>
              <w:bottom w:val="dotted" w:sz="4" w:space="0" w:color="auto"/>
            </w:tcBorders>
            <w:shd w:val="clear" w:color="auto" w:fill="auto"/>
          </w:tcPr>
          <w:p w:rsidR="00D7257A" w:rsidRDefault="00D7257A" w:rsidP="00306013">
            <w:pPr>
              <w:jc w:val="center"/>
              <w:rPr>
                <w:rFonts w:eastAsia="Arial Unicode MS" w:cs="Arial"/>
              </w:rPr>
            </w:pPr>
            <w:r>
              <w:rPr>
                <w:rFonts w:eastAsia="Arial Unicode MS" w:cs="Arial"/>
              </w:rPr>
              <w:t>13</w:t>
            </w:r>
          </w:p>
        </w:tc>
        <w:tc>
          <w:tcPr>
            <w:tcW w:w="1225" w:type="dxa"/>
            <w:tcBorders>
              <w:top w:val="dotted" w:sz="4" w:space="0" w:color="auto"/>
              <w:bottom w:val="dotted" w:sz="4" w:space="0" w:color="auto"/>
            </w:tcBorders>
            <w:shd w:val="clear" w:color="auto" w:fill="auto"/>
          </w:tcPr>
          <w:p w:rsidR="00D7257A" w:rsidRPr="00262071" w:rsidRDefault="00D7257A" w:rsidP="00306013">
            <w:pPr>
              <w:jc w:val="center"/>
              <w:rPr>
                <w:rFonts w:eastAsia="Arial Unicode MS" w:cs="Arial"/>
              </w:rPr>
            </w:pPr>
            <w:r>
              <w:rPr>
                <w:rFonts w:eastAsia="Arial Unicode MS" w:cs="Arial"/>
              </w:rPr>
              <w:t>7</w:t>
            </w:r>
          </w:p>
        </w:tc>
        <w:tc>
          <w:tcPr>
            <w:tcW w:w="1614" w:type="dxa"/>
            <w:tcBorders>
              <w:top w:val="dotted" w:sz="4" w:space="0" w:color="auto"/>
              <w:bottom w:val="dotted" w:sz="4" w:space="0" w:color="auto"/>
            </w:tcBorders>
          </w:tcPr>
          <w:p w:rsidR="00D7257A" w:rsidRPr="00262071" w:rsidRDefault="00D7257A" w:rsidP="00306013">
            <w:pPr>
              <w:jc w:val="center"/>
              <w:rPr>
                <w:rFonts w:eastAsia="Arial Unicode MS" w:cs="Arial"/>
              </w:rPr>
            </w:pPr>
            <w:r>
              <w:rPr>
                <w:rFonts w:eastAsia="Arial Unicode MS" w:cs="Arial"/>
              </w:rPr>
              <w:t>7</w:t>
            </w:r>
          </w:p>
        </w:tc>
        <w:tc>
          <w:tcPr>
            <w:tcW w:w="1956" w:type="dxa"/>
            <w:tcBorders>
              <w:top w:val="dotted" w:sz="4" w:space="0" w:color="auto"/>
              <w:bottom w:val="dotted" w:sz="4" w:space="0" w:color="auto"/>
            </w:tcBorders>
          </w:tcPr>
          <w:p w:rsidR="00D7257A" w:rsidRPr="00262071" w:rsidRDefault="00D7257A" w:rsidP="00306013">
            <w:pPr>
              <w:jc w:val="center"/>
              <w:rPr>
                <w:rFonts w:eastAsia="Arial Unicode MS" w:cs="Arial"/>
              </w:rPr>
            </w:pPr>
            <w:r>
              <w:rPr>
                <w:rFonts w:eastAsia="Arial Unicode MS" w:cs="Arial"/>
              </w:rPr>
              <w:t>0</w:t>
            </w:r>
          </w:p>
        </w:tc>
        <w:tc>
          <w:tcPr>
            <w:tcW w:w="2009" w:type="dxa"/>
            <w:tcBorders>
              <w:top w:val="dotted" w:sz="4" w:space="0" w:color="auto"/>
              <w:bottom w:val="dotted" w:sz="4" w:space="0" w:color="auto"/>
            </w:tcBorders>
            <w:shd w:val="clear" w:color="auto" w:fill="auto"/>
          </w:tcPr>
          <w:p w:rsidR="00D7257A" w:rsidRPr="00262071" w:rsidRDefault="00D7257A" w:rsidP="00306013">
            <w:pPr>
              <w:jc w:val="right"/>
              <w:rPr>
                <w:rFonts w:eastAsia="Arial Unicode MS" w:cs="Arial"/>
              </w:rPr>
            </w:pPr>
            <w:r>
              <w:rPr>
                <w:rFonts w:eastAsia="Arial Unicode MS" w:cs="Arial"/>
              </w:rPr>
              <w:t>66.600</w:t>
            </w:r>
          </w:p>
        </w:tc>
      </w:tr>
      <w:tr w:rsidR="00D7257A" w:rsidTr="00D67DE1">
        <w:tc>
          <w:tcPr>
            <w:tcW w:w="2268" w:type="dxa"/>
            <w:tcBorders>
              <w:top w:val="dotted" w:sz="4" w:space="0" w:color="auto"/>
              <w:bottom w:val="dotted" w:sz="4" w:space="0" w:color="auto"/>
            </w:tcBorders>
          </w:tcPr>
          <w:p w:rsidR="00D7257A" w:rsidRPr="00262071" w:rsidRDefault="00D7257A" w:rsidP="00306013">
            <w:pPr>
              <w:rPr>
                <w:rFonts w:eastAsia="Arial Unicode MS" w:cs="Arial"/>
              </w:rPr>
            </w:pPr>
            <w:r>
              <w:rPr>
                <w:rFonts w:eastAsia="Arial" w:cs="Arial"/>
                <w:szCs w:val="20"/>
                <w:bdr w:val="nil"/>
                <w:lang w:val="nl-BE"/>
              </w:rPr>
              <w:t>Aanwerving specifiek project</w:t>
            </w:r>
          </w:p>
        </w:tc>
        <w:tc>
          <w:tcPr>
            <w:tcW w:w="1276" w:type="dxa"/>
            <w:tcBorders>
              <w:top w:val="dotted" w:sz="4" w:space="0" w:color="auto"/>
              <w:bottom w:val="dotted" w:sz="4" w:space="0" w:color="auto"/>
            </w:tcBorders>
            <w:shd w:val="clear" w:color="auto" w:fill="auto"/>
          </w:tcPr>
          <w:p w:rsidR="00D7257A" w:rsidRPr="00262071" w:rsidRDefault="00D7257A" w:rsidP="00306013">
            <w:pPr>
              <w:jc w:val="center"/>
              <w:rPr>
                <w:rFonts w:eastAsia="Arial Unicode MS" w:cs="Arial"/>
              </w:rPr>
            </w:pPr>
            <w:r>
              <w:rPr>
                <w:rFonts w:eastAsia="Arial Unicode MS" w:cs="Arial"/>
              </w:rPr>
              <w:t>38</w:t>
            </w:r>
          </w:p>
        </w:tc>
        <w:tc>
          <w:tcPr>
            <w:tcW w:w="1225" w:type="dxa"/>
            <w:tcBorders>
              <w:top w:val="dotted" w:sz="4" w:space="0" w:color="auto"/>
              <w:bottom w:val="dotted" w:sz="4" w:space="0" w:color="auto"/>
            </w:tcBorders>
            <w:shd w:val="clear" w:color="auto" w:fill="auto"/>
          </w:tcPr>
          <w:p w:rsidR="00D7257A" w:rsidRPr="00262071" w:rsidRDefault="00D7257A" w:rsidP="00306013">
            <w:pPr>
              <w:jc w:val="center"/>
              <w:rPr>
                <w:rFonts w:eastAsia="Arial Unicode MS" w:cs="Arial"/>
              </w:rPr>
            </w:pPr>
            <w:r>
              <w:rPr>
                <w:rFonts w:eastAsia="Arial Unicode MS" w:cs="Arial"/>
              </w:rPr>
              <w:t>39</w:t>
            </w:r>
          </w:p>
        </w:tc>
        <w:tc>
          <w:tcPr>
            <w:tcW w:w="1614" w:type="dxa"/>
            <w:tcBorders>
              <w:top w:val="dotted" w:sz="4" w:space="0" w:color="auto"/>
              <w:bottom w:val="dotted" w:sz="4" w:space="0" w:color="auto"/>
            </w:tcBorders>
          </w:tcPr>
          <w:p w:rsidR="00D7257A" w:rsidRPr="00262071" w:rsidRDefault="00D7257A" w:rsidP="00306013">
            <w:pPr>
              <w:jc w:val="center"/>
              <w:rPr>
                <w:rFonts w:eastAsia="Arial Unicode MS" w:cs="Arial"/>
              </w:rPr>
            </w:pPr>
            <w:r>
              <w:rPr>
                <w:rFonts w:eastAsia="Arial Unicode MS" w:cs="Arial"/>
              </w:rPr>
              <w:t>22</w:t>
            </w:r>
          </w:p>
        </w:tc>
        <w:tc>
          <w:tcPr>
            <w:tcW w:w="1956" w:type="dxa"/>
            <w:tcBorders>
              <w:top w:val="dotted" w:sz="4" w:space="0" w:color="auto"/>
              <w:bottom w:val="dotted" w:sz="4" w:space="0" w:color="auto"/>
            </w:tcBorders>
          </w:tcPr>
          <w:p w:rsidR="00D7257A" w:rsidRPr="00262071" w:rsidRDefault="00D7257A" w:rsidP="00306013">
            <w:pPr>
              <w:jc w:val="center"/>
              <w:rPr>
                <w:rFonts w:eastAsia="Arial Unicode MS" w:cs="Arial"/>
              </w:rPr>
            </w:pPr>
            <w:r>
              <w:rPr>
                <w:rFonts w:eastAsia="Arial Unicode MS" w:cs="Arial"/>
              </w:rPr>
              <w:t>17</w:t>
            </w:r>
          </w:p>
        </w:tc>
        <w:tc>
          <w:tcPr>
            <w:tcW w:w="2009" w:type="dxa"/>
            <w:tcBorders>
              <w:top w:val="dotted" w:sz="4" w:space="0" w:color="auto"/>
              <w:bottom w:val="dotted" w:sz="4" w:space="0" w:color="auto"/>
            </w:tcBorders>
            <w:shd w:val="clear" w:color="auto" w:fill="auto"/>
          </w:tcPr>
          <w:p w:rsidR="00D7257A" w:rsidRPr="00262071" w:rsidRDefault="00D7257A" w:rsidP="00306013">
            <w:pPr>
              <w:jc w:val="right"/>
              <w:rPr>
                <w:rFonts w:eastAsia="Arial Unicode MS" w:cs="Arial"/>
              </w:rPr>
            </w:pPr>
            <w:r>
              <w:rPr>
                <w:rFonts w:eastAsia="Arial Unicode MS" w:cs="Arial"/>
              </w:rPr>
              <w:t>1.040.000</w:t>
            </w:r>
          </w:p>
        </w:tc>
      </w:tr>
      <w:tr w:rsidR="00D7257A" w:rsidTr="00D67DE1">
        <w:tc>
          <w:tcPr>
            <w:tcW w:w="2268" w:type="dxa"/>
            <w:tcBorders>
              <w:top w:val="dotted" w:sz="4" w:space="0" w:color="auto"/>
              <w:bottom w:val="dotted" w:sz="4" w:space="0" w:color="auto"/>
            </w:tcBorders>
          </w:tcPr>
          <w:p w:rsidR="00D7257A" w:rsidRPr="00262071" w:rsidRDefault="00D7257A" w:rsidP="00306013">
            <w:pPr>
              <w:rPr>
                <w:rFonts w:eastAsia="Arial Unicode MS" w:cs="Arial"/>
              </w:rPr>
            </w:pPr>
            <w:r>
              <w:rPr>
                <w:rFonts w:eastAsia="Arial" w:cs="Arial"/>
                <w:szCs w:val="20"/>
                <w:bdr w:val="nil"/>
                <w:lang w:val="nl-BE"/>
              </w:rPr>
              <w:t>Aanwerving vzw</w:t>
            </w:r>
          </w:p>
        </w:tc>
        <w:tc>
          <w:tcPr>
            <w:tcW w:w="1276" w:type="dxa"/>
            <w:tcBorders>
              <w:top w:val="dotted" w:sz="4" w:space="0" w:color="auto"/>
              <w:bottom w:val="dotted" w:sz="4" w:space="0" w:color="auto"/>
            </w:tcBorders>
            <w:shd w:val="clear" w:color="auto" w:fill="auto"/>
          </w:tcPr>
          <w:p w:rsidR="00D7257A" w:rsidRPr="00262071" w:rsidRDefault="00D7257A" w:rsidP="00306013">
            <w:pPr>
              <w:jc w:val="center"/>
              <w:rPr>
                <w:rFonts w:eastAsia="Arial Unicode MS" w:cs="Arial"/>
              </w:rPr>
            </w:pPr>
            <w:r>
              <w:rPr>
                <w:rFonts w:eastAsia="Arial Unicode MS" w:cs="Arial"/>
              </w:rPr>
              <w:t>5</w:t>
            </w:r>
          </w:p>
        </w:tc>
        <w:tc>
          <w:tcPr>
            <w:tcW w:w="1225" w:type="dxa"/>
            <w:tcBorders>
              <w:top w:val="dotted" w:sz="4" w:space="0" w:color="auto"/>
              <w:bottom w:val="dotted" w:sz="4" w:space="0" w:color="auto"/>
            </w:tcBorders>
            <w:shd w:val="clear" w:color="auto" w:fill="auto"/>
          </w:tcPr>
          <w:p w:rsidR="00D7257A" w:rsidRPr="00262071" w:rsidRDefault="00D7257A" w:rsidP="00306013">
            <w:pPr>
              <w:jc w:val="center"/>
              <w:rPr>
                <w:rFonts w:eastAsia="Arial Unicode MS" w:cs="Arial"/>
              </w:rPr>
            </w:pPr>
            <w:r>
              <w:rPr>
                <w:rFonts w:eastAsia="Arial Unicode MS" w:cs="Arial"/>
              </w:rPr>
              <w:t>2</w:t>
            </w:r>
          </w:p>
        </w:tc>
        <w:tc>
          <w:tcPr>
            <w:tcW w:w="1614" w:type="dxa"/>
            <w:tcBorders>
              <w:top w:val="dotted" w:sz="4" w:space="0" w:color="auto"/>
              <w:bottom w:val="dotted" w:sz="4" w:space="0" w:color="auto"/>
            </w:tcBorders>
          </w:tcPr>
          <w:p w:rsidR="00D7257A" w:rsidRPr="00262071" w:rsidRDefault="00D7257A" w:rsidP="00306013">
            <w:pPr>
              <w:jc w:val="center"/>
              <w:rPr>
                <w:rFonts w:eastAsia="Arial Unicode MS" w:cs="Arial"/>
              </w:rPr>
            </w:pPr>
            <w:r>
              <w:rPr>
                <w:rFonts w:eastAsia="Arial Unicode MS" w:cs="Arial"/>
              </w:rPr>
              <w:t>2</w:t>
            </w:r>
          </w:p>
        </w:tc>
        <w:tc>
          <w:tcPr>
            <w:tcW w:w="1956" w:type="dxa"/>
            <w:tcBorders>
              <w:top w:val="dotted" w:sz="4" w:space="0" w:color="auto"/>
              <w:bottom w:val="dotted" w:sz="4" w:space="0" w:color="auto"/>
            </w:tcBorders>
          </w:tcPr>
          <w:p w:rsidR="00D7257A" w:rsidRPr="00262071" w:rsidRDefault="00D7257A" w:rsidP="00306013">
            <w:pPr>
              <w:jc w:val="center"/>
              <w:rPr>
                <w:rFonts w:eastAsia="Arial Unicode MS" w:cs="Arial"/>
              </w:rPr>
            </w:pPr>
            <w:r>
              <w:rPr>
                <w:rFonts w:eastAsia="Arial Unicode MS" w:cs="Arial"/>
              </w:rPr>
              <w:t>0</w:t>
            </w:r>
          </w:p>
        </w:tc>
        <w:tc>
          <w:tcPr>
            <w:tcW w:w="2009" w:type="dxa"/>
            <w:tcBorders>
              <w:top w:val="dotted" w:sz="4" w:space="0" w:color="auto"/>
              <w:bottom w:val="dotted" w:sz="4" w:space="0" w:color="auto"/>
            </w:tcBorders>
            <w:shd w:val="clear" w:color="auto" w:fill="auto"/>
          </w:tcPr>
          <w:p w:rsidR="00D7257A" w:rsidRPr="00262071" w:rsidRDefault="00D7257A" w:rsidP="00306013">
            <w:pPr>
              <w:jc w:val="right"/>
              <w:rPr>
                <w:rFonts w:eastAsia="Arial Unicode MS" w:cs="Arial"/>
              </w:rPr>
            </w:pPr>
            <w:r>
              <w:rPr>
                <w:rFonts w:eastAsia="Arial Unicode MS" w:cs="Arial"/>
              </w:rPr>
              <w:t>160.000</w:t>
            </w:r>
          </w:p>
        </w:tc>
      </w:tr>
      <w:tr w:rsidR="00D7257A" w:rsidTr="00D67DE1">
        <w:tc>
          <w:tcPr>
            <w:tcW w:w="2268" w:type="dxa"/>
            <w:tcBorders>
              <w:top w:val="dotted" w:sz="4" w:space="0" w:color="auto"/>
              <w:bottom w:val="dotted" w:sz="4" w:space="0" w:color="auto"/>
            </w:tcBorders>
          </w:tcPr>
          <w:p w:rsidR="00D7257A" w:rsidRPr="00262071" w:rsidRDefault="00D7257A" w:rsidP="00306013">
            <w:pPr>
              <w:rPr>
                <w:rFonts w:eastAsia="Arial Unicode MS" w:cs="Arial"/>
              </w:rPr>
            </w:pPr>
            <w:r>
              <w:rPr>
                <w:rFonts w:eastAsia="Arial" w:cs="Arial"/>
                <w:szCs w:val="20"/>
                <w:bdr w:val="nil"/>
                <w:lang w:val="nl-BE"/>
              </w:rPr>
              <w:t>Kinderopvang</w:t>
            </w:r>
          </w:p>
        </w:tc>
        <w:tc>
          <w:tcPr>
            <w:tcW w:w="1276" w:type="dxa"/>
            <w:tcBorders>
              <w:top w:val="dotted" w:sz="4" w:space="0" w:color="auto"/>
              <w:bottom w:val="dotted" w:sz="4" w:space="0" w:color="auto"/>
            </w:tcBorders>
            <w:shd w:val="clear" w:color="auto" w:fill="auto"/>
          </w:tcPr>
          <w:p w:rsidR="00D7257A" w:rsidRPr="00262071" w:rsidRDefault="00D7257A" w:rsidP="00306013">
            <w:pPr>
              <w:jc w:val="center"/>
              <w:rPr>
                <w:rFonts w:eastAsia="Arial Unicode MS" w:cs="Arial"/>
              </w:rPr>
            </w:pPr>
            <w:r>
              <w:rPr>
                <w:rFonts w:eastAsia="Arial Unicode MS" w:cs="Arial"/>
              </w:rPr>
              <w:t>76</w:t>
            </w:r>
          </w:p>
        </w:tc>
        <w:tc>
          <w:tcPr>
            <w:tcW w:w="1225" w:type="dxa"/>
            <w:tcBorders>
              <w:top w:val="dotted" w:sz="4" w:space="0" w:color="auto"/>
              <w:bottom w:val="dotted" w:sz="4" w:space="0" w:color="auto"/>
            </w:tcBorders>
            <w:shd w:val="clear" w:color="auto" w:fill="auto"/>
          </w:tcPr>
          <w:p w:rsidR="00D7257A" w:rsidRPr="00262071" w:rsidRDefault="00D7257A" w:rsidP="00306013">
            <w:pPr>
              <w:jc w:val="center"/>
              <w:rPr>
                <w:rFonts w:eastAsia="Arial Unicode MS" w:cs="Arial"/>
              </w:rPr>
            </w:pPr>
            <w:r>
              <w:rPr>
                <w:rFonts w:eastAsia="Arial Unicode MS" w:cs="Arial"/>
              </w:rPr>
              <w:t>61</w:t>
            </w:r>
          </w:p>
        </w:tc>
        <w:tc>
          <w:tcPr>
            <w:tcW w:w="1614" w:type="dxa"/>
            <w:tcBorders>
              <w:top w:val="dotted" w:sz="4" w:space="0" w:color="auto"/>
              <w:bottom w:val="dotted" w:sz="4" w:space="0" w:color="auto"/>
            </w:tcBorders>
          </w:tcPr>
          <w:p w:rsidR="00D7257A" w:rsidRPr="00262071" w:rsidRDefault="00D7257A" w:rsidP="00306013">
            <w:pPr>
              <w:jc w:val="center"/>
              <w:rPr>
                <w:rFonts w:eastAsia="Arial Unicode MS" w:cs="Arial"/>
              </w:rPr>
            </w:pPr>
            <w:r>
              <w:rPr>
                <w:rFonts w:eastAsia="Arial Unicode MS" w:cs="Arial"/>
              </w:rPr>
              <w:t>49</w:t>
            </w:r>
          </w:p>
        </w:tc>
        <w:tc>
          <w:tcPr>
            <w:tcW w:w="1956" w:type="dxa"/>
            <w:tcBorders>
              <w:top w:val="dotted" w:sz="4" w:space="0" w:color="auto"/>
              <w:bottom w:val="dotted" w:sz="4" w:space="0" w:color="auto"/>
            </w:tcBorders>
            <w:shd w:val="clear" w:color="auto" w:fill="auto"/>
          </w:tcPr>
          <w:p w:rsidR="00D7257A" w:rsidRPr="00262071" w:rsidRDefault="00D7257A" w:rsidP="00306013">
            <w:pPr>
              <w:jc w:val="center"/>
              <w:rPr>
                <w:rFonts w:eastAsia="Arial Unicode MS" w:cs="Arial"/>
              </w:rPr>
            </w:pPr>
            <w:r>
              <w:rPr>
                <w:rFonts w:eastAsia="Arial Unicode MS" w:cs="Arial"/>
              </w:rPr>
              <w:t>12</w:t>
            </w:r>
          </w:p>
        </w:tc>
        <w:tc>
          <w:tcPr>
            <w:tcW w:w="2009" w:type="dxa"/>
            <w:tcBorders>
              <w:top w:val="dotted" w:sz="4" w:space="0" w:color="auto"/>
              <w:bottom w:val="dotted" w:sz="4" w:space="0" w:color="auto"/>
            </w:tcBorders>
            <w:shd w:val="clear" w:color="auto" w:fill="auto"/>
          </w:tcPr>
          <w:p w:rsidR="00D7257A" w:rsidRPr="00262071" w:rsidRDefault="00D7257A" w:rsidP="00306013">
            <w:pPr>
              <w:jc w:val="right"/>
              <w:rPr>
                <w:rFonts w:eastAsia="Arial Unicode MS" w:cs="Arial"/>
              </w:rPr>
            </w:pPr>
            <w:r>
              <w:rPr>
                <w:rFonts w:eastAsia="Arial Unicode MS" w:cs="Arial"/>
              </w:rPr>
              <w:t>213.000</w:t>
            </w:r>
          </w:p>
        </w:tc>
      </w:tr>
      <w:tr w:rsidR="00D7257A" w:rsidTr="00D67DE1">
        <w:tc>
          <w:tcPr>
            <w:tcW w:w="2268" w:type="dxa"/>
            <w:tcBorders>
              <w:top w:val="single" w:sz="18" w:space="0" w:color="auto"/>
              <w:bottom w:val="single" w:sz="18" w:space="0" w:color="auto"/>
            </w:tcBorders>
          </w:tcPr>
          <w:p w:rsidR="00D7257A" w:rsidRPr="00D60F63" w:rsidRDefault="00D7257A" w:rsidP="00306013">
            <w:pPr>
              <w:rPr>
                <w:rFonts w:eastAsia="Arial Unicode MS" w:cs="Arial"/>
                <w:bCs/>
              </w:rPr>
            </w:pPr>
            <w:r>
              <w:rPr>
                <w:rFonts w:eastAsia="Arial" w:cs="Arial"/>
                <w:bCs/>
                <w:szCs w:val="20"/>
                <w:bdr w:val="nil"/>
                <w:lang w:val="nl-BE"/>
              </w:rPr>
              <w:t>TOTAAL</w:t>
            </w:r>
          </w:p>
        </w:tc>
        <w:tc>
          <w:tcPr>
            <w:tcW w:w="1276" w:type="dxa"/>
            <w:tcBorders>
              <w:top w:val="single" w:sz="18" w:space="0" w:color="auto"/>
              <w:bottom w:val="single" w:sz="18" w:space="0" w:color="auto"/>
            </w:tcBorders>
            <w:shd w:val="clear" w:color="auto" w:fill="auto"/>
          </w:tcPr>
          <w:p w:rsidR="00D7257A" w:rsidRPr="00D60F63" w:rsidRDefault="00D7257A" w:rsidP="00306013">
            <w:pPr>
              <w:jc w:val="center"/>
              <w:rPr>
                <w:rFonts w:eastAsia="Arial Unicode MS" w:cs="Arial"/>
                <w:bCs/>
              </w:rPr>
            </w:pPr>
            <w:r>
              <w:rPr>
                <w:rFonts w:eastAsia="Arial Unicode MS" w:cs="Arial"/>
                <w:bCs/>
              </w:rPr>
              <w:t>2507</w:t>
            </w:r>
          </w:p>
        </w:tc>
        <w:tc>
          <w:tcPr>
            <w:tcW w:w="1225" w:type="dxa"/>
            <w:tcBorders>
              <w:top w:val="single" w:sz="18" w:space="0" w:color="auto"/>
              <w:bottom w:val="single" w:sz="18" w:space="0" w:color="auto"/>
            </w:tcBorders>
            <w:shd w:val="clear" w:color="auto" w:fill="auto"/>
          </w:tcPr>
          <w:p w:rsidR="00D7257A" w:rsidRPr="00D60F63" w:rsidRDefault="00D7257A" w:rsidP="00306013">
            <w:pPr>
              <w:jc w:val="center"/>
              <w:rPr>
                <w:rFonts w:eastAsia="Arial Unicode MS" w:cs="Arial"/>
                <w:bCs/>
              </w:rPr>
            </w:pPr>
            <w:r>
              <w:rPr>
                <w:rFonts w:eastAsia="Arial Unicode MS" w:cs="Arial"/>
                <w:bCs/>
              </w:rPr>
              <w:t>2279</w:t>
            </w:r>
          </w:p>
        </w:tc>
        <w:tc>
          <w:tcPr>
            <w:tcW w:w="1614" w:type="dxa"/>
            <w:tcBorders>
              <w:top w:val="single" w:sz="18" w:space="0" w:color="auto"/>
              <w:bottom w:val="single" w:sz="18" w:space="0" w:color="auto"/>
            </w:tcBorders>
          </w:tcPr>
          <w:p w:rsidR="00D7257A" w:rsidRPr="00D60F63" w:rsidRDefault="00D7257A" w:rsidP="00306013">
            <w:pPr>
              <w:jc w:val="center"/>
              <w:rPr>
                <w:rFonts w:eastAsia="Arial Unicode MS" w:cs="Arial"/>
                <w:bCs/>
              </w:rPr>
            </w:pPr>
            <w:r>
              <w:rPr>
                <w:rFonts w:eastAsia="Arial Unicode MS" w:cs="Arial"/>
                <w:bCs/>
              </w:rPr>
              <w:t>1809</w:t>
            </w:r>
          </w:p>
        </w:tc>
        <w:tc>
          <w:tcPr>
            <w:tcW w:w="1956" w:type="dxa"/>
            <w:tcBorders>
              <w:top w:val="single" w:sz="18" w:space="0" w:color="auto"/>
              <w:bottom w:val="single" w:sz="18" w:space="0" w:color="auto"/>
            </w:tcBorders>
          </w:tcPr>
          <w:p w:rsidR="00D7257A" w:rsidRPr="00D60F63" w:rsidRDefault="00D7257A" w:rsidP="00306013">
            <w:pPr>
              <w:jc w:val="center"/>
              <w:rPr>
                <w:rFonts w:eastAsia="Arial Unicode MS" w:cs="Arial"/>
                <w:bCs/>
              </w:rPr>
            </w:pPr>
            <w:r>
              <w:rPr>
                <w:rFonts w:eastAsia="Arial Unicode MS" w:cs="Arial"/>
                <w:bCs/>
              </w:rPr>
              <w:t>470</w:t>
            </w:r>
          </w:p>
        </w:tc>
        <w:tc>
          <w:tcPr>
            <w:tcW w:w="2009" w:type="dxa"/>
            <w:tcBorders>
              <w:top w:val="single" w:sz="18" w:space="0" w:color="auto"/>
              <w:bottom w:val="single" w:sz="18" w:space="0" w:color="auto"/>
            </w:tcBorders>
            <w:shd w:val="clear" w:color="auto" w:fill="auto"/>
          </w:tcPr>
          <w:p w:rsidR="00D7257A" w:rsidRPr="00D60F63" w:rsidRDefault="00D7257A" w:rsidP="00306013">
            <w:pPr>
              <w:jc w:val="right"/>
              <w:rPr>
                <w:rFonts w:eastAsia="Arial Unicode MS" w:cs="Arial"/>
                <w:bCs/>
              </w:rPr>
            </w:pPr>
            <w:r>
              <w:rPr>
                <w:rFonts w:eastAsia="Arial Unicode MS" w:cs="Arial"/>
                <w:bCs/>
              </w:rPr>
              <w:t>10.222.039,08</w:t>
            </w:r>
          </w:p>
        </w:tc>
      </w:tr>
    </w:tbl>
    <w:p w:rsidR="00D7257A" w:rsidRDefault="00D7257A" w:rsidP="00D7257A">
      <w:pPr>
        <w:jc w:val="center"/>
        <w:rPr>
          <w:rFonts w:eastAsia="Arial Unicode MS" w:cs="Arial"/>
          <w:b/>
          <w:sz w:val="24"/>
          <w:szCs w:val="24"/>
        </w:rPr>
      </w:pPr>
      <w:r>
        <w:rPr>
          <w:rFonts w:cs="Arial"/>
          <w:noProof/>
          <w:lang w:eastAsia="fr-BE"/>
        </w:rPr>
        <w:lastRenderedPageBreak/>
        <w:drawing>
          <wp:inline distT="0" distB="0" distL="0" distR="0" wp14:anchorId="52737321" wp14:editId="32148D95">
            <wp:extent cx="5886450" cy="1609725"/>
            <wp:effectExtent l="0" t="0" r="0" b="0"/>
            <wp:docPr id="13" name="Graphique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257A" w:rsidRPr="002A6EC3" w:rsidRDefault="00D7257A" w:rsidP="00D7257A">
      <w:pPr>
        <w:pStyle w:val="Titre3"/>
        <w:numPr>
          <w:ilvl w:val="2"/>
          <w:numId w:val="1"/>
        </w:numPr>
        <w:rPr>
          <w:rFonts w:eastAsia="Arial Unicode MS"/>
        </w:rPr>
      </w:pPr>
      <w:bookmarkStart w:id="17" w:name="_Toc518917037"/>
      <w:r>
        <w:rPr>
          <w:rFonts w:eastAsia="Arial" w:cs="Arial"/>
          <w:szCs w:val="20"/>
          <w:bdr w:val="nil"/>
          <w:lang w:val="nl-BE"/>
        </w:rPr>
        <w:t>De soorten steun</w:t>
      </w:r>
      <w:bookmarkEnd w:id="17"/>
    </w:p>
    <w:p w:rsidR="00D7257A" w:rsidRDefault="00D7257A" w:rsidP="00D7257A">
      <w:pPr>
        <w:pStyle w:val="Titre4"/>
        <w:numPr>
          <w:ilvl w:val="3"/>
          <w:numId w:val="1"/>
        </w:numPr>
        <w:rPr>
          <w:rFonts w:eastAsia="Arial Unicode MS"/>
        </w:rPr>
      </w:pPr>
      <w:r>
        <w:rPr>
          <w:rFonts w:eastAsia="Arial" w:cs="Arial"/>
          <w:szCs w:val="20"/>
          <w:bdr w:val="nil"/>
          <w:lang w:val="nl-BE"/>
        </w:rPr>
        <w:t>Pre-activiteit</w:t>
      </w:r>
    </w:p>
    <w:p w:rsidR="00D7257A" w:rsidRPr="00A22E25" w:rsidRDefault="00D7257A" w:rsidP="00D7257A">
      <w:pPr>
        <w:rPr>
          <w:rFonts w:eastAsia="Arial Unicode MS" w:cs="Arial"/>
          <w:lang w:val="nl-BE"/>
        </w:rPr>
      </w:pPr>
      <w:r>
        <w:rPr>
          <w:rFonts w:eastAsia="Arial" w:cs="Arial"/>
          <w:szCs w:val="20"/>
          <w:bdr w:val="nil"/>
          <w:lang w:val="nl-BE"/>
        </w:rPr>
        <w:t xml:space="preserve">Het betreft een subsidie die tot 50% dekt van de consultancykosten voor het verkrijgen van advies of om een studie uit te voeren om een Brusselse </w:t>
      </w:r>
      <w:proofErr w:type="spellStart"/>
      <w:r>
        <w:rPr>
          <w:rFonts w:eastAsia="Arial" w:cs="Arial"/>
          <w:szCs w:val="20"/>
          <w:bdr w:val="nil"/>
          <w:lang w:val="nl-BE"/>
        </w:rPr>
        <w:t>kmo</w:t>
      </w:r>
      <w:proofErr w:type="spellEnd"/>
      <w:r>
        <w:rPr>
          <w:rFonts w:eastAsia="Arial" w:cs="Arial"/>
          <w:szCs w:val="20"/>
          <w:bdr w:val="nil"/>
          <w:lang w:val="nl-BE"/>
        </w:rPr>
        <w:t xml:space="preserve"> op te richten (of over te nemen).</w:t>
      </w:r>
    </w:p>
    <w:p w:rsidR="00D7257A" w:rsidRPr="00A22E25" w:rsidRDefault="00D7257A" w:rsidP="00D7257A">
      <w:pPr>
        <w:rPr>
          <w:rFonts w:eastAsia="Arial Unicode MS" w:cs="Arial"/>
          <w:b/>
          <w:i/>
          <w:lang w:val="nl-BE"/>
        </w:rPr>
      </w:pPr>
      <w:r>
        <w:rPr>
          <w:rFonts w:eastAsia="Arial" w:cs="Arial"/>
          <w:b/>
          <w:bCs/>
          <w:i/>
          <w:iCs/>
          <w:szCs w:val="20"/>
          <w:bdr w:val="nil"/>
          <w:lang w:val="nl-BE"/>
        </w:rPr>
        <w:t>Wettelijke basissen</w:t>
      </w:r>
    </w:p>
    <w:p w:rsidR="00D7257A" w:rsidRPr="00A22E25" w:rsidRDefault="00D7257A" w:rsidP="00D7257A">
      <w:pPr>
        <w:rPr>
          <w:rFonts w:eastAsia="Arial Unicode MS" w:cs="Arial"/>
          <w:lang w:val="nl-BE"/>
        </w:rPr>
      </w:pPr>
      <w:r>
        <w:rPr>
          <w:rFonts w:eastAsia="Arial" w:cs="Arial"/>
          <w:szCs w:val="20"/>
          <w:bdr w:val="nil"/>
          <w:lang w:val="nl-BE"/>
        </w:rPr>
        <w:t>Organieke ordonnantie van 13 december 2007 betreffende de steun ter bevordering van de economische expansie (BS van 10 januari 2008).</w:t>
      </w:r>
    </w:p>
    <w:p w:rsidR="00D7257A" w:rsidRPr="00A22E25" w:rsidRDefault="00D7257A" w:rsidP="00D7257A">
      <w:pPr>
        <w:rPr>
          <w:rFonts w:eastAsia="Arial Unicode MS" w:cs="Arial"/>
          <w:lang w:val="nl-BE"/>
        </w:rPr>
      </w:pPr>
      <w:r>
        <w:rPr>
          <w:rFonts w:eastAsia="Arial" w:cs="Arial"/>
          <w:szCs w:val="20"/>
          <w:bdr w:val="nil"/>
          <w:lang w:val="nl-BE"/>
        </w:rPr>
        <w:t xml:space="preserve">Besluit van de Brusselse Hoofdstedelijke Regering van 26 juni 2008 (BS van 14 augustus 2008) betreffende de steun </w:t>
      </w:r>
      <w:proofErr w:type="gramStart"/>
      <w:r>
        <w:rPr>
          <w:rFonts w:eastAsia="Arial" w:cs="Arial"/>
          <w:szCs w:val="20"/>
          <w:bdr w:val="nil"/>
          <w:lang w:val="nl-BE"/>
        </w:rPr>
        <w:t>inzake</w:t>
      </w:r>
      <w:proofErr w:type="gramEnd"/>
      <w:r>
        <w:rPr>
          <w:rFonts w:eastAsia="Arial" w:cs="Arial"/>
          <w:szCs w:val="20"/>
          <w:bdr w:val="nil"/>
          <w:lang w:val="nl-BE"/>
        </w:rPr>
        <w:t xml:space="preserve"> pre-activiteit en de steun voor studies en diensten van externe consultants.</w:t>
      </w:r>
    </w:p>
    <w:p w:rsidR="00D7257A" w:rsidRPr="00A22E25" w:rsidRDefault="00D7257A" w:rsidP="00D7257A">
      <w:pPr>
        <w:rPr>
          <w:rFonts w:eastAsia="Arial Unicode MS" w:cs="Arial"/>
          <w:b/>
          <w:i/>
          <w:lang w:val="nl-BE"/>
        </w:rPr>
      </w:pPr>
      <w:r>
        <w:rPr>
          <w:rFonts w:eastAsia="Arial" w:cs="Arial"/>
          <w:b/>
          <w:bCs/>
          <w:i/>
          <w:iCs/>
          <w:szCs w:val="20"/>
          <w:bdr w:val="nil"/>
          <w:lang w:val="nl-BE"/>
        </w:rPr>
        <w:t>Vaststellingen</w:t>
      </w:r>
    </w:p>
    <w:p w:rsidR="00D7257A" w:rsidRPr="00A22E25" w:rsidRDefault="00D7257A" w:rsidP="00D7257A">
      <w:pPr>
        <w:rPr>
          <w:rFonts w:eastAsia="Arial Unicode MS" w:cs="Arial"/>
          <w:lang w:val="nl-BE"/>
        </w:rPr>
      </w:pPr>
      <w:r>
        <w:rPr>
          <w:rFonts w:eastAsia="Arial" w:cs="Arial"/>
          <w:szCs w:val="20"/>
          <w:bdr w:val="nil"/>
          <w:lang w:val="nl-BE"/>
        </w:rPr>
        <w:t xml:space="preserve">In 2017 hebben we 22 aanvragen behandeld, waarvan er 18 afgesloten werden met een gunstige beslissing (81,82%). De aan consultants toevertrouwde opdrachten hadden voornamelijk betrekking op problemen </w:t>
      </w:r>
      <w:proofErr w:type="gramStart"/>
      <w:r>
        <w:rPr>
          <w:rFonts w:eastAsia="Arial" w:cs="Arial"/>
          <w:szCs w:val="20"/>
          <w:bdr w:val="nil"/>
          <w:lang w:val="nl-BE"/>
        </w:rPr>
        <w:t>inzake</w:t>
      </w:r>
      <w:proofErr w:type="gramEnd"/>
      <w:r>
        <w:rPr>
          <w:rFonts w:eastAsia="Arial" w:cs="Arial"/>
          <w:szCs w:val="20"/>
          <w:bdr w:val="nil"/>
          <w:lang w:val="nl-BE"/>
        </w:rPr>
        <w:t xml:space="preserve"> marketing (5 dossiers) en rechtszaken (5 dossiers).</w:t>
      </w:r>
    </w:p>
    <w:p w:rsidR="00D7257A" w:rsidRDefault="00D7257A" w:rsidP="00D7257A">
      <w:pPr>
        <w:rPr>
          <w:rFonts w:eastAsia="Arial Unicode MS" w:cs="Arial"/>
        </w:rPr>
      </w:pPr>
      <w:proofErr w:type="gramStart"/>
      <w:r>
        <w:rPr>
          <w:rFonts w:eastAsia="Arial" w:cs="Arial"/>
          <w:szCs w:val="20"/>
          <w:bdr w:val="nil"/>
          <w:lang w:val="nl-BE"/>
        </w:rPr>
        <w:t>Vergeleken met vorig jaar stellen we een aanzienlijke terugval</w:t>
      </w:r>
      <w:r w:rsidR="00D67DE1">
        <w:rPr>
          <w:rFonts w:eastAsia="Arial" w:cs="Arial"/>
          <w:szCs w:val="20"/>
          <w:bdr w:val="nil"/>
          <w:lang w:val="nl-BE"/>
        </w:rPr>
        <w:t xml:space="preserve"> vast</w:t>
      </w:r>
      <w:r>
        <w:rPr>
          <w:rFonts w:eastAsia="Arial" w:cs="Arial"/>
          <w:szCs w:val="20"/>
          <w:bdr w:val="nil"/>
          <w:lang w:val="nl-BE"/>
        </w:rPr>
        <w:t xml:space="preserve"> 38,89% vast van het aantal behandelde dossiers (36). </w:t>
      </w:r>
      <w:proofErr w:type="gramEnd"/>
      <w:r>
        <w:rPr>
          <w:rFonts w:eastAsia="Arial" w:cs="Arial"/>
          <w:szCs w:val="20"/>
          <w:bdr w:val="nil"/>
          <w:lang w:val="nl-BE"/>
        </w:rPr>
        <w:t>Deze evolutie valt te verklaren door de afname van het aantal aanvragen dat ingediend wordt bij onze diensten (-26,47%). Het weigeringscijfer blijft stabiel (rond 19%).</w:t>
      </w:r>
    </w:p>
    <w:p w:rsidR="00D7257A" w:rsidRDefault="00D7257A" w:rsidP="00D7257A">
      <w:pPr>
        <w:pStyle w:val="Titre4"/>
        <w:numPr>
          <w:ilvl w:val="3"/>
          <w:numId w:val="1"/>
        </w:numPr>
        <w:rPr>
          <w:rFonts w:eastAsia="Arial Unicode MS"/>
        </w:rPr>
      </w:pPr>
      <w:r>
        <w:rPr>
          <w:rFonts w:eastAsia="Arial" w:cs="Arial"/>
          <w:szCs w:val="20"/>
          <w:bdr w:val="nil"/>
          <w:lang w:val="nl-BE"/>
        </w:rPr>
        <w:t>Advies en studies</w:t>
      </w:r>
    </w:p>
    <w:p w:rsidR="00D7257A" w:rsidRPr="00A22E25" w:rsidRDefault="00D7257A" w:rsidP="00D7257A">
      <w:pPr>
        <w:rPr>
          <w:rFonts w:eastAsia="Arial Unicode MS" w:cs="Arial"/>
          <w:lang w:val="nl-BE"/>
        </w:rPr>
      </w:pPr>
      <w:r>
        <w:rPr>
          <w:rFonts w:eastAsia="Arial" w:cs="Arial"/>
          <w:szCs w:val="20"/>
          <w:bdr w:val="nil"/>
          <w:lang w:val="nl-BE"/>
        </w:rPr>
        <w:t>Die subsidie dekt tot 50% van de consultancykosten voor:</w:t>
      </w:r>
    </w:p>
    <w:p w:rsidR="00D7257A" w:rsidRPr="00A22E25" w:rsidRDefault="00D7257A" w:rsidP="00D7257A">
      <w:pPr>
        <w:pStyle w:val="Paragraphedeliste"/>
        <w:numPr>
          <w:ilvl w:val="0"/>
          <w:numId w:val="3"/>
        </w:numPr>
        <w:rPr>
          <w:rFonts w:eastAsia="Arial Unicode MS" w:cs="Arial"/>
          <w:lang w:val="nl-BE"/>
        </w:rPr>
      </w:pPr>
      <w:r>
        <w:rPr>
          <w:rFonts w:eastAsia="Arial" w:cs="Arial"/>
          <w:szCs w:val="20"/>
          <w:bdr w:val="nil"/>
          <w:lang w:val="nl-BE"/>
        </w:rPr>
        <w:t xml:space="preserve">een externe consultant voor het oplossen van een specifiek </w:t>
      </w:r>
      <w:proofErr w:type="spellStart"/>
      <w:r>
        <w:rPr>
          <w:rFonts w:eastAsia="Arial" w:cs="Arial"/>
          <w:szCs w:val="20"/>
          <w:bdr w:val="nil"/>
          <w:lang w:val="nl-BE"/>
        </w:rPr>
        <w:t>beheersprobleem</w:t>
      </w:r>
      <w:proofErr w:type="spellEnd"/>
      <w:r>
        <w:rPr>
          <w:rFonts w:eastAsia="Arial" w:cs="Arial"/>
          <w:szCs w:val="20"/>
          <w:bdr w:val="nil"/>
          <w:lang w:val="nl-BE"/>
        </w:rPr>
        <w:t xml:space="preserve"> of om de werking of het concurrentievermogen van een </w:t>
      </w:r>
      <w:proofErr w:type="spellStart"/>
      <w:r>
        <w:rPr>
          <w:rFonts w:eastAsia="Arial" w:cs="Arial"/>
          <w:szCs w:val="20"/>
          <w:bdr w:val="nil"/>
          <w:lang w:val="nl-BE"/>
        </w:rPr>
        <w:t>kmo</w:t>
      </w:r>
      <w:proofErr w:type="spellEnd"/>
      <w:r>
        <w:rPr>
          <w:rFonts w:eastAsia="Arial" w:cs="Arial"/>
          <w:szCs w:val="20"/>
          <w:bdr w:val="nil"/>
          <w:lang w:val="nl-BE"/>
        </w:rPr>
        <w:t xml:space="preserve"> te verbeteren;</w:t>
      </w:r>
    </w:p>
    <w:p w:rsidR="00D7257A" w:rsidRPr="00A22E25" w:rsidRDefault="00D7257A" w:rsidP="00D7257A">
      <w:pPr>
        <w:pStyle w:val="Paragraphedeliste"/>
        <w:numPr>
          <w:ilvl w:val="0"/>
          <w:numId w:val="3"/>
        </w:numPr>
        <w:rPr>
          <w:rFonts w:eastAsia="Arial Unicode MS" w:cs="Arial"/>
          <w:lang w:val="nl-BE"/>
        </w:rPr>
      </w:pPr>
      <w:r>
        <w:rPr>
          <w:rFonts w:eastAsia="Arial" w:cs="Arial"/>
          <w:szCs w:val="20"/>
          <w:bdr w:val="nil"/>
          <w:lang w:val="nl-BE"/>
        </w:rPr>
        <w:t xml:space="preserve">een technische, economische of financiële studie om een </w:t>
      </w:r>
      <w:proofErr w:type="spellStart"/>
      <w:r>
        <w:rPr>
          <w:rFonts w:eastAsia="Arial" w:cs="Arial"/>
          <w:szCs w:val="20"/>
          <w:bdr w:val="nil"/>
          <w:lang w:val="nl-BE"/>
        </w:rPr>
        <w:t>kmo</w:t>
      </w:r>
      <w:proofErr w:type="spellEnd"/>
      <w:r>
        <w:rPr>
          <w:rFonts w:eastAsia="Arial" w:cs="Arial"/>
          <w:szCs w:val="20"/>
          <w:bdr w:val="nil"/>
          <w:lang w:val="nl-BE"/>
        </w:rPr>
        <w:t xml:space="preserve"> te helpen bij het nemen van een investeringsbeslissing.</w:t>
      </w:r>
    </w:p>
    <w:p w:rsidR="00D7257A" w:rsidRPr="00A22E25" w:rsidRDefault="00D7257A" w:rsidP="00D7257A">
      <w:pPr>
        <w:rPr>
          <w:rFonts w:eastAsia="Arial Unicode MS" w:cs="Arial"/>
          <w:b/>
          <w:i/>
          <w:lang w:val="nl-BE"/>
        </w:rPr>
      </w:pPr>
      <w:r>
        <w:rPr>
          <w:rFonts w:eastAsia="Arial" w:cs="Arial"/>
          <w:b/>
          <w:bCs/>
          <w:i/>
          <w:iCs/>
          <w:szCs w:val="20"/>
          <w:bdr w:val="nil"/>
          <w:lang w:val="nl-BE"/>
        </w:rPr>
        <w:t>Wettelijke basissen</w:t>
      </w:r>
    </w:p>
    <w:p w:rsidR="00D7257A" w:rsidRPr="00A22E25" w:rsidRDefault="00D7257A" w:rsidP="00D7257A">
      <w:pPr>
        <w:rPr>
          <w:rFonts w:eastAsia="Arial Unicode MS" w:cs="Arial"/>
          <w:lang w:val="nl-BE"/>
        </w:rPr>
      </w:pPr>
      <w:r>
        <w:rPr>
          <w:rFonts w:eastAsia="Arial" w:cs="Arial"/>
          <w:szCs w:val="20"/>
          <w:bdr w:val="nil"/>
          <w:lang w:val="nl-BE"/>
        </w:rPr>
        <w:t>Organieke ordonnantie van 13 december 2007 betreffende de steun ter bevordering van de economische expansie (BS van 10 januari 2008).</w:t>
      </w:r>
    </w:p>
    <w:p w:rsidR="00D7257A" w:rsidRPr="00A22E25" w:rsidRDefault="00D7257A" w:rsidP="00D7257A">
      <w:pPr>
        <w:rPr>
          <w:rFonts w:eastAsia="Arial Unicode MS" w:cs="Arial"/>
          <w:lang w:val="nl-BE"/>
        </w:rPr>
      </w:pPr>
      <w:r>
        <w:rPr>
          <w:rFonts w:eastAsia="Arial" w:cs="Arial"/>
          <w:szCs w:val="20"/>
          <w:bdr w:val="nil"/>
          <w:lang w:val="nl-BE"/>
        </w:rPr>
        <w:lastRenderedPageBreak/>
        <w:t xml:space="preserve">Besluit van de Brusselse Hoofdstedelijke Regering van 26 juni 2008 (BS van 14 augustus 2008) betreffende de steun </w:t>
      </w:r>
      <w:proofErr w:type="gramStart"/>
      <w:r>
        <w:rPr>
          <w:rFonts w:eastAsia="Arial" w:cs="Arial"/>
          <w:szCs w:val="20"/>
          <w:bdr w:val="nil"/>
          <w:lang w:val="nl-BE"/>
        </w:rPr>
        <w:t>inzake</w:t>
      </w:r>
      <w:proofErr w:type="gramEnd"/>
      <w:r>
        <w:rPr>
          <w:rFonts w:eastAsia="Arial" w:cs="Arial"/>
          <w:szCs w:val="20"/>
          <w:bdr w:val="nil"/>
          <w:lang w:val="nl-BE"/>
        </w:rPr>
        <w:t xml:space="preserve"> pre-activiteit en de steun voor studies en diensten van externe consultants.</w:t>
      </w:r>
    </w:p>
    <w:p w:rsidR="00D7257A" w:rsidRPr="00A22E25" w:rsidRDefault="00D7257A" w:rsidP="00D7257A">
      <w:pPr>
        <w:rPr>
          <w:rFonts w:eastAsia="Arial Unicode MS" w:cs="Arial"/>
          <w:b/>
          <w:i/>
          <w:lang w:val="nl-BE"/>
        </w:rPr>
      </w:pPr>
      <w:r>
        <w:rPr>
          <w:rFonts w:eastAsia="Arial" w:cs="Arial"/>
          <w:b/>
          <w:bCs/>
          <w:i/>
          <w:iCs/>
          <w:szCs w:val="20"/>
          <w:bdr w:val="nil"/>
          <w:lang w:val="nl-BE"/>
        </w:rPr>
        <w:t>Vaststellingen</w:t>
      </w:r>
    </w:p>
    <w:p w:rsidR="00D7257A" w:rsidRPr="00A22E25" w:rsidRDefault="00D7257A" w:rsidP="00D7257A">
      <w:pPr>
        <w:rPr>
          <w:rFonts w:eastAsia="Arial Unicode MS" w:cs="Arial"/>
          <w:lang w:val="nl-BE"/>
        </w:rPr>
      </w:pPr>
      <w:r>
        <w:rPr>
          <w:rFonts w:eastAsia="Arial" w:cs="Arial"/>
          <w:szCs w:val="20"/>
          <w:bdr w:val="nil"/>
          <w:lang w:val="nl-BE"/>
        </w:rPr>
        <w:t>In 2017 werden 1.040 dossiers behandeld</w:t>
      </w:r>
      <w:r w:rsidR="00D67DE1">
        <w:rPr>
          <w:rFonts w:eastAsia="Arial" w:cs="Arial"/>
          <w:szCs w:val="20"/>
          <w:bdr w:val="nil"/>
          <w:lang w:val="nl-BE"/>
        </w:rPr>
        <w:t>,</w:t>
      </w:r>
      <w:r>
        <w:rPr>
          <w:rFonts w:eastAsia="Arial" w:cs="Arial"/>
          <w:szCs w:val="20"/>
          <w:bdr w:val="nil"/>
          <w:lang w:val="nl-BE"/>
        </w:rPr>
        <w:t xml:space="preserve"> waarvan er 869 e</w:t>
      </w:r>
      <w:r w:rsidR="00D67DE1">
        <w:rPr>
          <w:rFonts w:eastAsia="Arial" w:cs="Arial"/>
          <w:szCs w:val="20"/>
          <w:bdr w:val="nil"/>
          <w:lang w:val="nl-BE"/>
        </w:rPr>
        <w:t>en gunstige beslissing kregen. D</w:t>
      </w:r>
      <w:r>
        <w:rPr>
          <w:rFonts w:eastAsia="Arial" w:cs="Arial"/>
          <w:szCs w:val="20"/>
          <w:bdr w:val="nil"/>
          <w:lang w:val="nl-BE"/>
        </w:rPr>
        <w:t xml:space="preserve">at is 83,56% van de aanvragen. </w:t>
      </w:r>
    </w:p>
    <w:p w:rsidR="00D7257A" w:rsidRPr="00A22E25" w:rsidRDefault="00D7257A" w:rsidP="00D7257A">
      <w:pPr>
        <w:rPr>
          <w:rFonts w:eastAsia="Arial Unicode MS" w:cs="Arial"/>
          <w:lang w:val="nl-BE"/>
        </w:rPr>
      </w:pPr>
      <w:proofErr w:type="gramStart"/>
      <w:r>
        <w:rPr>
          <w:rFonts w:eastAsia="Arial" w:cs="Arial"/>
          <w:szCs w:val="20"/>
          <w:bdr w:val="nil"/>
          <w:lang w:val="nl-BE"/>
        </w:rPr>
        <w:t xml:space="preserve">Vergeleken met vorig jaar stellen we een terugval met 3,7% vast van het aantal behandelde dossiers (1.080). </w:t>
      </w:r>
      <w:proofErr w:type="gramEnd"/>
      <w:r>
        <w:rPr>
          <w:rFonts w:eastAsia="Arial" w:cs="Arial"/>
          <w:szCs w:val="20"/>
          <w:bdr w:val="nil"/>
          <w:lang w:val="nl-BE"/>
        </w:rPr>
        <w:t>Het weigeringscijfer is gezakt van 21,46% naar 16,44%.</w:t>
      </w:r>
      <w:r>
        <w:rPr>
          <w:rFonts w:eastAsia="Arial" w:cs="Arial"/>
          <w:szCs w:val="20"/>
          <w:bdr w:val="nil"/>
          <w:lang w:val="nl-BE"/>
        </w:rPr>
        <w:br w:type="page"/>
      </w:r>
    </w:p>
    <w:p w:rsidR="00D7257A" w:rsidRPr="00A22E25" w:rsidRDefault="00D7257A" w:rsidP="00D7257A">
      <w:pPr>
        <w:rPr>
          <w:rFonts w:eastAsia="Arial Unicode MS" w:cs="Arial"/>
          <w:lang w:val="nl-BE"/>
        </w:rPr>
      </w:pPr>
      <w:r>
        <w:rPr>
          <w:rFonts w:eastAsia="Arial" w:cs="Arial"/>
          <w:szCs w:val="20"/>
          <w:bdr w:val="nil"/>
          <w:lang w:val="nl-BE"/>
        </w:rPr>
        <w:lastRenderedPageBreak/>
        <w:t>Verdeling per soort opdracht (op basis van het aantal toegekende dossiers):</w:t>
      </w:r>
    </w:p>
    <w:p w:rsidR="00D7257A" w:rsidRPr="00262071" w:rsidRDefault="00D7257A" w:rsidP="00D7257A">
      <w:pPr>
        <w:rPr>
          <w:rFonts w:eastAsia="Arial Unicode MS" w:cs="Arial"/>
          <w:b/>
          <w:u w:val="single"/>
        </w:rPr>
      </w:pPr>
      <w:r>
        <w:rPr>
          <w:rFonts w:eastAsia="Arial Unicode MS" w:cs="Arial"/>
          <w:noProof/>
          <w:lang w:eastAsia="fr-BE"/>
        </w:rPr>
        <w:drawing>
          <wp:inline distT="0" distB="0" distL="0" distR="0" wp14:anchorId="598869BD" wp14:editId="614D64FB">
            <wp:extent cx="5105400" cy="3086100"/>
            <wp:effectExtent l="0" t="0" r="0" b="0"/>
            <wp:docPr id="12" name="Graphique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262071">
        <w:rPr>
          <w:rFonts w:eastAsia="Arial Unicode MS" w:cs="Arial"/>
          <w:b/>
          <w:u w:val="single"/>
        </w:rPr>
        <w:t xml:space="preserve"> </w:t>
      </w:r>
    </w:p>
    <w:p w:rsidR="00D7257A" w:rsidRDefault="00D7257A" w:rsidP="00D7257A">
      <w:pPr>
        <w:pStyle w:val="Titre4"/>
        <w:numPr>
          <w:ilvl w:val="3"/>
          <w:numId w:val="1"/>
        </w:numPr>
        <w:rPr>
          <w:rFonts w:eastAsia="Arial Unicode MS"/>
        </w:rPr>
      </w:pPr>
      <w:r>
        <w:rPr>
          <w:rFonts w:eastAsia="Arial" w:cs="Arial"/>
          <w:szCs w:val="20"/>
          <w:bdr w:val="nil"/>
          <w:lang w:val="nl-BE"/>
        </w:rPr>
        <w:t>Externe opleidingen</w:t>
      </w:r>
    </w:p>
    <w:p w:rsidR="00D7257A" w:rsidRPr="00A22E25" w:rsidRDefault="00D7257A" w:rsidP="00D7257A">
      <w:pPr>
        <w:rPr>
          <w:rFonts w:eastAsia="Arial Unicode MS" w:cs="Arial"/>
          <w:lang w:val="nl-BE"/>
        </w:rPr>
      </w:pPr>
      <w:r>
        <w:rPr>
          <w:rFonts w:eastAsia="Arial" w:cs="Arial"/>
          <w:szCs w:val="20"/>
          <w:bdr w:val="nil"/>
          <w:lang w:val="nl-BE"/>
        </w:rPr>
        <w:t xml:space="preserve">Het betreft een subsidie die 50% dekt van een externe opleiding om de werking of het concurrentievermogen van een </w:t>
      </w:r>
      <w:proofErr w:type="spellStart"/>
      <w:r>
        <w:rPr>
          <w:rFonts w:eastAsia="Arial" w:cs="Arial"/>
          <w:szCs w:val="20"/>
          <w:bdr w:val="nil"/>
          <w:lang w:val="nl-BE"/>
        </w:rPr>
        <w:t>kmo</w:t>
      </w:r>
      <w:proofErr w:type="spellEnd"/>
      <w:r>
        <w:rPr>
          <w:rFonts w:eastAsia="Arial" w:cs="Arial"/>
          <w:szCs w:val="20"/>
          <w:bdr w:val="nil"/>
          <w:lang w:val="nl-BE"/>
        </w:rPr>
        <w:t xml:space="preserve"> te verbeteren, met uitzondering van de thema's die betrekking hebben op het dagelijkse beheer en de competenties die eigen zijn aan de activiteit.</w:t>
      </w:r>
    </w:p>
    <w:p w:rsidR="00D7257A" w:rsidRPr="00A22E25" w:rsidRDefault="00D7257A" w:rsidP="00D7257A">
      <w:pPr>
        <w:rPr>
          <w:rFonts w:eastAsia="Arial Unicode MS" w:cs="Arial"/>
          <w:b/>
          <w:i/>
          <w:lang w:val="nl-BE"/>
        </w:rPr>
      </w:pPr>
      <w:r>
        <w:rPr>
          <w:rFonts w:eastAsia="Arial" w:cs="Arial"/>
          <w:b/>
          <w:bCs/>
          <w:i/>
          <w:iCs/>
          <w:szCs w:val="20"/>
          <w:bdr w:val="nil"/>
          <w:lang w:val="nl-BE"/>
        </w:rPr>
        <w:t>Wettelijke basissen</w:t>
      </w:r>
    </w:p>
    <w:p w:rsidR="00D7257A" w:rsidRPr="00A22E25" w:rsidRDefault="00D7257A" w:rsidP="00D7257A">
      <w:pPr>
        <w:rPr>
          <w:rFonts w:eastAsia="Arial Unicode MS" w:cs="Arial"/>
          <w:lang w:val="nl-BE"/>
        </w:rPr>
      </w:pPr>
      <w:r>
        <w:rPr>
          <w:rFonts w:eastAsia="Arial" w:cs="Arial"/>
          <w:szCs w:val="20"/>
          <w:bdr w:val="nil"/>
          <w:lang w:val="nl-BE"/>
        </w:rPr>
        <w:t>Organieke ordonnantie van 13 december 2007 betreffende de steun ter bevordering van de economische expansie (BS van 10 januari 2008).</w:t>
      </w:r>
    </w:p>
    <w:p w:rsidR="00D7257A" w:rsidRPr="00A22E25" w:rsidRDefault="00D7257A" w:rsidP="00D7257A">
      <w:pPr>
        <w:rPr>
          <w:rFonts w:eastAsia="Arial Unicode MS" w:cs="Arial"/>
          <w:lang w:val="nl-BE"/>
        </w:rPr>
      </w:pPr>
      <w:r>
        <w:rPr>
          <w:rFonts w:eastAsia="Arial" w:cs="Arial"/>
          <w:szCs w:val="20"/>
          <w:bdr w:val="nil"/>
          <w:lang w:val="nl-BE"/>
        </w:rPr>
        <w:t>Besluit van de Brusselse Hoofdstedelijke Regering van 24 april 2014 (BS van 30 mei 2014) betreffende de steun voor omkadering en kennisoverdracht.</w:t>
      </w:r>
    </w:p>
    <w:p w:rsidR="00D7257A" w:rsidRPr="00A22E25" w:rsidRDefault="00D7257A" w:rsidP="00D7257A">
      <w:pPr>
        <w:rPr>
          <w:rFonts w:eastAsia="Arial Unicode MS" w:cs="Arial"/>
          <w:b/>
          <w:i/>
          <w:lang w:val="nl-BE"/>
        </w:rPr>
      </w:pPr>
      <w:r>
        <w:rPr>
          <w:rFonts w:eastAsia="Arial" w:cs="Arial"/>
          <w:b/>
          <w:bCs/>
          <w:i/>
          <w:iCs/>
          <w:szCs w:val="20"/>
          <w:bdr w:val="nil"/>
          <w:lang w:val="nl-BE"/>
        </w:rPr>
        <w:t>Vaststellingen</w:t>
      </w:r>
    </w:p>
    <w:p w:rsidR="00D7257A" w:rsidRPr="00A22E25" w:rsidRDefault="00D7257A" w:rsidP="00D7257A">
      <w:pPr>
        <w:rPr>
          <w:rFonts w:eastAsia="Arial Unicode MS" w:cs="Arial"/>
          <w:lang w:val="nl-BE"/>
        </w:rPr>
      </w:pPr>
      <w:r>
        <w:rPr>
          <w:rFonts w:eastAsia="Arial" w:cs="Arial"/>
          <w:szCs w:val="20"/>
          <w:bdr w:val="nil"/>
          <w:lang w:val="nl-BE"/>
        </w:rPr>
        <w:t>Over 1.045 dossiers is er een beslissing genomen, waarvan er 791 gunstig waren (75,69% van de aanvragen).</w:t>
      </w:r>
    </w:p>
    <w:p w:rsidR="00D7257A" w:rsidRPr="00A22E25" w:rsidRDefault="00D7257A" w:rsidP="00D7257A">
      <w:pPr>
        <w:rPr>
          <w:rFonts w:eastAsia="Arial Unicode MS" w:cs="Arial"/>
          <w:lang w:val="nl-BE"/>
        </w:rPr>
      </w:pPr>
      <w:proofErr w:type="gramStart"/>
      <w:r>
        <w:rPr>
          <w:rFonts w:eastAsia="Arial" w:cs="Arial"/>
          <w:szCs w:val="20"/>
          <w:bdr w:val="nil"/>
          <w:lang w:val="nl-BE"/>
        </w:rPr>
        <w:t xml:space="preserve">Vergeleken met vorig jaar stellen we een aanzienlijke toename met 13,09% vast van het aantal behandelde dossiers. </w:t>
      </w:r>
      <w:proofErr w:type="gramEnd"/>
      <w:r>
        <w:rPr>
          <w:rFonts w:eastAsia="Arial" w:cs="Arial"/>
          <w:szCs w:val="20"/>
          <w:bdr w:val="nil"/>
          <w:lang w:val="nl-BE"/>
        </w:rPr>
        <w:t>Deze evolutie valt gedeeltelijk te verklaren door een toename met 6,07% van het aantal ingediende dossiers. Het aantal geweigerde dossiers ten opzichte van het totale aantal behandelde dossiers neemt ook toe: in 2017 werd 24,31% van de behandelde dossiers geweigerd, tegenover 18,40% het vorige jaar.</w:t>
      </w:r>
    </w:p>
    <w:p w:rsidR="00D7257A" w:rsidRPr="00A22E25" w:rsidRDefault="00D7257A" w:rsidP="00D7257A">
      <w:pPr>
        <w:jc w:val="left"/>
        <w:rPr>
          <w:rFonts w:eastAsia="Arial Unicode MS" w:cs="Arial"/>
          <w:lang w:val="nl-BE"/>
        </w:rPr>
      </w:pPr>
      <w:r>
        <w:rPr>
          <w:rFonts w:eastAsia="Arial" w:cs="Arial"/>
          <w:szCs w:val="20"/>
          <w:bdr w:val="nil"/>
          <w:lang w:val="nl-BE"/>
        </w:rPr>
        <w:br w:type="page"/>
      </w:r>
      <w:r>
        <w:rPr>
          <w:rFonts w:eastAsia="Arial" w:cs="Arial"/>
          <w:szCs w:val="20"/>
          <w:bdr w:val="nil"/>
          <w:lang w:val="nl-BE"/>
        </w:rPr>
        <w:lastRenderedPageBreak/>
        <w:t>Verdeling per soort opleiding (op basis van het aantal toegekende dossiers):</w:t>
      </w:r>
    </w:p>
    <w:p w:rsidR="00D7257A" w:rsidRDefault="00D7257A" w:rsidP="00D7257A">
      <w:pPr>
        <w:rPr>
          <w:rFonts w:eastAsia="Arial Unicode MS" w:cs="Arial"/>
        </w:rPr>
      </w:pPr>
      <w:r>
        <w:rPr>
          <w:rFonts w:eastAsia="Arial Unicode MS" w:cs="Arial"/>
          <w:noProof/>
          <w:lang w:eastAsia="fr-BE"/>
        </w:rPr>
        <w:drawing>
          <wp:inline distT="0" distB="0" distL="0" distR="0" wp14:anchorId="7127CB8B" wp14:editId="1EB895F3">
            <wp:extent cx="5876925" cy="2238375"/>
            <wp:effectExtent l="0" t="0" r="0" b="0"/>
            <wp:docPr id="11" name="Graphique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7257A" w:rsidRDefault="00D7257A" w:rsidP="00D7257A">
      <w:pPr>
        <w:pStyle w:val="Titre4"/>
        <w:numPr>
          <w:ilvl w:val="3"/>
          <w:numId w:val="1"/>
        </w:numPr>
        <w:rPr>
          <w:rFonts w:eastAsia="Arial Unicode MS"/>
        </w:rPr>
      </w:pPr>
      <w:r>
        <w:rPr>
          <w:rFonts w:eastAsia="Arial" w:cs="Arial"/>
          <w:szCs w:val="20"/>
          <w:bdr w:val="nil"/>
          <w:lang w:val="nl-BE"/>
        </w:rPr>
        <w:t>IBO-peterschap</w:t>
      </w:r>
    </w:p>
    <w:p w:rsidR="00D7257A" w:rsidRPr="00A22E25" w:rsidRDefault="00D7257A" w:rsidP="00D7257A">
      <w:pPr>
        <w:rPr>
          <w:lang w:val="nl-BE"/>
        </w:rPr>
      </w:pPr>
      <w:r>
        <w:rPr>
          <w:rFonts w:eastAsia="Arial" w:cs="Arial"/>
          <w:szCs w:val="20"/>
          <w:bdr w:val="nil"/>
          <w:lang w:val="nl-BE"/>
        </w:rPr>
        <w:t>Deze tegemoetkoming is een premie tot 1.000 euro per maand voor de indienstneming en opleiding van een stagiair(e) in het kader van een Individuele Beroepsopleiding.</w:t>
      </w:r>
    </w:p>
    <w:p w:rsidR="00D7257A" w:rsidRPr="00A22E25" w:rsidRDefault="00D7257A" w:rsidP="00D7257A">
      <w:pPr>
        <w:rPr>
          <w:rFonts w:eastAsia="Arial Unicode MS" w:cs="Arial"/>
          <w:b/>
          <w:i/>
          <w:lang w:val="nl-BE"/>
        </w:rPr>
      </w:pPr>
      <w:r>
        <w:rPr>
          <w:rFonts w:eastAsia="Arial" w:cs="Arial"/>
          <w:b/>
          <w:bCs/>
          <w:i/>
          <w:iCs/>
          <w:szCs w:val="20"/>
          <w:bdr w:val="nil"/>
          <w:lang w:val="nl-BE"/>
        </w:rPr>
        <w:t>Wettelijke basissen</w:t>
      </w:r>
    </w:p>
    <w:p w:rsidR="00D7257A" w:rsidRPr="00A22E25" w:rsidRDefault="00D7257A" w:rsidP="00D7257A">
      <w:pPr>
        <w:rPr>
          <w:rFonts w:eastAsia="Arial Unicode MS" w:cs="Arial"/>
          <w:lang w:val="nl-BE"/>
        </w:rPr>
      </w:pPr>
      <w:r>
        <w:rPr>
          <w:rFonts w:eastAsia="Arial" w:cs="Arial"/>
          <w:szCs w:val="20"/>
          <w:bdr w:val="nil"/>
          <w:lang w:val="nl-BE"/>
        </w:rPr>
        <w:t>Organieke ordonnantie van 13 december 2007 betreffende de steun ter bevordering van de economische expansie (BS van 10 januari 2008).</w:t>
      </w:r>
    </w:p>
    <w:p w:rsidR="00D7257A" w:rsidRPr="00A22E25" w:rsidRDefault="00D7257A" w:rsidP="00D7257A">
      <w:pPr>
        <w:rPr>
          <w:rFonts w:eastAsia="Arial Unicode MS" w:cs="Arial"/>
          <w:lang w:val="nl-BE"/>
        </w:rPr>
      </w:pPr>
      <w:r>
        <w:rPr>
          <w:rFonts w:eastAsia="Arial" w:cs="Arial"/>
          <w:szCs w:val="20"/>
          <w:bdr w:val="nil"/>
          <w:lang w:val="nl-BE"/>
        </w:rPr>
        <w:t>Besluit van de Brusselse Hoofdstedelijke Regering van 24 april 2014 (BS van 30 mei 2014) betreffende de steun voor omkadering en kennisoverdracht.</w:t>
      </w:r>
    </w:p>
    <w:p w:rsidR="00D7257A" w:rsidRPr="00A22E25" w:rsidRDefault="00D7257A" w:rsidP="00D7257A">
      <w:pPr>
        <w:rPr>
          <w:rFonts w:eastAsia="Arial Unicode MS" w:cs="Arial"/>
          <w:b/>
          <w:i/>
          <w:lang w:val="nl-BE"/>
        </w:rPr>
      </w:pPr>
      <w:r>
        <w:rPr>
          <w:rFonts w:eastAsia="Arial" w:cs="Arial"/>
          <w:b/>
          <w:bCs/>
          <w:i/>
          <w:iCs/>
          <w:szCs w:val="20"/>
          <w:bdr w:val="nil"/>
          <w:lang w:val="nl-BE"/>
        </w:rPr>
        <w:t>Vaststellingen</w:t>
      </w:r>
    </w:p>
    <w:p w:rsidR="00D7257A" w:rsidRPr="00A22E25" w:rsidRDefault="00D7257A" w:rsidP="00D7257A">
      <w:pPr>
        <w:rPr>
          <w:rFonts w:eastAsia="Arial Unicode MS" w:cs="Arial"/>
          <w:lang w:val="nl-BE"/>
        </w:rPr>
      </w:pPr>
      <w:r>
        <w:rPr>
          <w:rFonts w:eastAsia="Arial" w:cs="Arial"/>
          <w:szCs w:val="20"/>
          <w:bdr w:val="nil"/>
          <w:lang w:val="nl-BE"/>
        </w:rPr>
        <w:t xml:space="preserve">Over 63 dossiers is een beslissing genomen, die in 57 van de gevallen gunstig was (80,95%). </w:t>
      </w:r>
    </w:p>
    <w:p w:rsidR="00D7257A" w:rsidRPr="0075776B" w:rsidRDefault="00D7257A" w:rsidP="00D7257A">
      <w:pPr>
        <w:rPr>
          <w:rFonts w:eastAsia="Arial Unicode MS" w:cs="Arial"/>
        </w:rPr>
      </w:pPr>
      <w:proofErr w:type="gramStart"/>
      <w:r>
        <w:rPr>
          <w:rFonts w:eastAsia="Arial" w:cs="Arial"/>
          <w:szCs w:val="20"/>
          <w:bdr w:val="nil"/>
          <w:lang w:val="nl-BE"/>
        </w:rPr>
        <w:t xml:space="preserve">Vergeleken met vorig jaar stellen we een toename met 36,96% vast van het aantal behandelde dossiers (46). </w:t>
      </w:r>
      <w:proofErr w:type="gramEnd"/>
      <w:r>
        <w:rPr>
          <w:rFonts w:eastAsia="Arial" w:cs="Arial"/>
          <w:szCs w:val="20"/>
          <w:bdr w:val="nil"/>
          <w:lang w:val="nl-BE"/>
        </w:rPr>
        <w:t>Deze aanzienlijke toename hangt samen met een stijging volgens dezelfde verhoudingen van het aantal ingediende dossiers. Het aandeel aanvaarde dossiers blijft stabiel.</w:t>
      </w:r>
    </w:p>
    <w:p w:rsidR="00D7257A" w:rsidRDefault="00D7257A" w:rsidP="00D7257A">
      <w:pPr>
        <w:pStyle w:val="Titre4"/>
        <w:numPr>
          <w:ilvl w:val="3"/>
          <w:numId w:val="1"/>
        </w:numPr>
        <w:rPr>
          <w:rFonts w:eastAsia="Arial Unicode MS"/>
        </w:rPr>
      </w:pPr>
      <w:r>
        <w:rPr>
          <w:rFonts w:eastAsia="Arial" w:cs="Arial"/>
          <w:szCs w:val="20"/>
          <w:bdr w:val="nil"/>
          <w:lang w:val="nl-BE"/>
        </w:rPr>
        <w:t>Terbeschikkingstelling van lokalen</w:t>
      </w:r>
    </w:p>
    <w:p w:rsidR="00D7257A" w:rsidRPr="00A22E25" w:rsidRDefault="00D7257A" w:rsidP="00D7257A">
      <w:pPr>
        <w:rPr>
          <w:lang w:val="nl-BE"/>
        </w:rPr>
      </w:pPr>
      <w:r>
        <w:rPr>
          <w:rFonts w:eastAsia="Arial" w:cs="Arial"/>
          <w:szCs w:val="20"/>
          <w:bdr w:val="nil"/>
          <w:lang w:val="nl-BE"/>
        </w:rPr>
        <w:t>Het betreft een dagelijkse subsidie die overeenkomt met de reële kosten verbonden aan de terbeschikkingstelling van bouwplaatsen, materiaal of lokalen aan onderwijsinstellingen.</w:t>
      </w:r>
    </w:p>
    <w:p w:rsidR="00D7257A" w:rsidRPr="00A22E25" w:rsidRDefault="00D7257A" w:rsidP="00D7257A">
      <w:pPr>
        <w:rPr>
          <w:rFonts w:eastAsia="Arial Unicode MS" w:cs="Arial"/>
          <w:b/>
          <w:i/>
          <w:lang w:val="nl-BE"/>
        </w:rPr>
      </w:pPr>
      <w:r>
        <w:rPr>
          <w:rFonts w:eastAsia="Arial" w:cs="Arial"/>
          <w:b/>
          <w:bCs/>
          <w:i/>
          <w:iCs/>
          <w:szCs w:val="20"/>
          <w:bdr w:val="nil"/>
          <w:lang w:val="nl-BE"/>
        </w:rPr>
        <w:t>Wettelijke basissen</w:t>
      </w:r>
    </w:p>
    <w:p w:rsidR="00D7257A" w:rsidRPr="00A22E25" w:rsidRDefault="00D7257A" w:rsidP="00D7257A">
      <w:pPr>
        <w:rPr>
          <w:rFonts w:eastAsia="Arial Unicode MS" w:cs="Arial"/>
          <w:lang w:val="nl-BE"/>
        </w:rPr>
      </w:pPr>
      <w:r>
        <w:rPr>
          <w:rFonts w:eastAsia="Arial" w:cs="Arial"/>
          <w:szCs w:val="20"/>
          <w:bdr w:val="nil"/>
          <w:lang w:val="nl-BE"/>
        </w:rPr>
        <w:t>Organieke ordonnantie van 13 december 2007 betreffende de steun ter bevordering van de economische expansie (BS van 10 januari 2008).</w:t>
      </w:r>
    </w:p>
    <w:p w:rsidR="00D7257A" w:rsidRDefault="00D7257A" w:rsidP="00D7257A">
      <w:pPr>
        <w:rPr>
          <w:rFonts w:eastAsia="Arial" w:cs="Arial"/>
          <w:szCs w:val="20"/>
          <w:bdr w:val="nil"/>
          <w:lang w:val="nl-BE"/>
        </w:rPr>
      </w:pPr>
      <w:r>
        <w:rPr>
          <w:rFonts w:eastAsia="Arial" w:cs="Arial"/>
          <w:szCs w:val="20"/>
          <w:bdr w:val="nil"/>
          <w:lang w:val="nl-BE"/>
        </w:rPr>
        <w:t>Besluit van de Brusselse Hoofdstedelijke Regering van 24 april 2014 (BS van 30 mei 2014) betreffende de steun voor omkadering en kennisoverdracht.</w:t>
      </w:r>
    </w:p>
    <w:p w:rsidR="00D67DE1" w:rsidRPr="00A22E25" w:rsidRDefault="00D67DE1" w:rsidP="00D7257A">
      <w:pPr>
        <w:rPr>
          <w:rFonts w:eastAsia="Arial Unicode MS" w:cs="Arial"/>
          <w:lang w:val="nl-BE"/>
        </w:rPr>
      </w:pPr>
    </w:p>
    <w:p w:rsidR="00D7257A" w:rsidRPr="00A22E25" w:rsidRDefault="00D7257A" w:rsidP="00D7257A">
      <w:pPr>
        <w:rPr>
          <w:rFonts w:eastAsia="Arial Unicode MS" w:cs="Arial"/>
          <w:b/>
          <w:i/>
          <w:lang w:val="nl-BE"/>
        </w:rPr>
      </w:pPr>
      <w:r>
        <w:rPr>
          <w:rFonts w:eastAsia="Arial" w:cs="Arial"/>
          <w:b/>
          <w:bCs/>
          <w:i/>
          <w:iCs/>
          <w:szCs w:val="20"/>
          <w:bdr w:val="nil"/>
          <w:lang w:val="nl-BE"/>
        </w:rPr>
        <w:lastRenderedPageBreak/>
        <w:t>Vaststellingen</w:t>
      </w:r>
    </w:p>
    <w:p w:rsidR="00D7257A" w:rsidRPr="00A22E25" w:rsidRDefault="00D7257A" w:rsidP="00D7257A">
      <w:pPr>
        <w:rPr>
          <w:rFonts w:eastAsia="Arial Unicode MS" w:cs="Arial"/>
          <w:lang w:val="nl-BE"/>
        </w:rPr>
      </w:pPr>
      <w:r>
        <w:rPr>
          <w:rFonts w:eastAsia="Arial" w:cs="Arial"/>
          <w:szCs w:val="20"/>
          <w:bdr w:val="nil"/>
          <w:lang w:val="nl-BE"/>
        </w:rPr>
        <w:t xml:space="preserve">7 dossiers </w:t>
      </w:r>
      <w:r w:rsidR="00D67DE1">
        <w:rPr>
          <w:rFonts w:eastAsia="Arial" w:cs="Arial"/>
          <w:szCs w:val="20"/>
          <w:bdr w:val="nil"/>
          <w:lang w:val="nl-BE"/>
        </w:rPr>
        <w:t xml:space="preserve">zijn </w:t>
      </w:r>
      <w:r>
        <w:rPr>
          <w:rFonts w:eastAsia="Arial" w:cs="Arial"/>
          <w:szCs w:val="20"/>
          <w:bdr w:val="nil"/>
          <w:lang w:val="nl-BE"/>
        </w:rPr>
        <w:t xml:space="preserve">het voorwerp </w:t>
      </w:r>
      <w:r w:rsidR="00D67DE1">
        <w:rPr>
          <w:rFonts w:eastAsia="Arial" w:cs="Arial"/>
          <w:szCs w:val="20"/>
          <w:bdr w:val="nil"/>
          <w:lang w:val="nl-BE"/>
        </w:rPr>
        <w:t>geweest</w:t>
      </w:r>
      <w:r>
        <w:rPr>
          <w:rFonts w:eastAsia="Arial" w:cs="Arial"/>
          <w:szCs w:val="20"/>
          <w:bdr w:val="nil"/>
          <w:lang w:val="nl-BE"/>
        </w:rPr>
        <w:t xml:space="preserve"> van een beslissing, die telkens gunstig was. </w:t>
      </w:r>
    </w:p>
    <w:p w:rsidR="00D7257A" w:rsidRPr="00A22E25" w:rsidRDefault="00D7257A" w:rsidP="00D7257A">
      <w:pPr>
        <w:rPr>
          <w:rFonts w:eastAsia="Arial Unicode MS" w:cs="Arial"/>
          <w:lang w:val="nl-BE"/>
        </w:rPr>
      </w:pPr>
      <w:r>
        <w:rPr>
          <w:rFonts w:eastAsia="Arial" w:cs="Arial"/>
          <w:szCs w:val="20"/>
          <w:bdr w:val="nil"/>
          <w:lang w:val="nl-BE"/>
        </w:rPr>
        <w:t>In vergelijking met het vorige jaar stellen we een afname met 69,57% vast van het aantal behandelde dossiers, wat gedeeltelijk te verklaren valt door een daling met 48% van het aantal ingediende dossiers.</w:t>
      </w:r>
    </w:p>
    <w:p w:rsidR="00D7257A" w:rsidRDefault="00D7257A" w:rsidP="00D7257A">
      <w:pPr>
        <w:pStyle w:val="Titre4"/>
        <w:numPr>
          <w:ilvl w:val="3"/>
          <w:numId w:val="1"/>
        </w:numPr>
        <w:rPr>
          <w:rFonts w:eastAsia="Arial Unicode MS"/>
        </w:rPr>
      </w:pPr>
      <w:r>
        <w:rPr>
          <w:rFonts w:eastAsia="Arial" w:cs="Arial"/>
          <w:szCs w:val="20"/>
          <w:bdr w:val="nil"/>
          <w:lang w:val="nl-BE"/>
        </w:rPr>
        <w:t>Aanwerving specifiek project</w:t>
      </w:r>
    </w:p>
    <w:p w:rsidR="00D7257A" w:rsidRPr="00A22E25" w:rsidRDefault="00D7257A" w:rsidP="00D7257A">
      <w:pPr>
        <w:rPr>
          <w:lang w:val="nl-BE"/>
        </w:rPr>
      </w:pPr>
      <w:r>
        <w:rPr>
          <w:rFonts w:eastAsia="Arial" w:cs="Arial"/>
          <w:szCs w:val="20"/>
          <w:bdr w:val="nil"/>
          <w:lang w:val="nl-BE"/>
        </w:rPr>
        <w:t xml:space="preserve">Het betreft een steunbedrag van maximaal 25.000 euro per jaar om een bij </w:t>
      </w:r>
      <w:proofErr w:type="spellStart"/>
      <w:r>
        <w:rPr>
          <w:rFonts w:eastAsia="Arial" w:cs="Arial"/>
          <w:szCs w:val="20"/>
          <w:bdr w:val="nil"/>
          <w:lang w:val="nl-BE"/>
        </w:rPr>
        <w:t>Actiris</w:t>
      </w:r>
      <w:proofErr w:type="spellEnd"/>
      <w:r>
        <w:rPr>
          <w:rFonts w:eastAsia="Arial" w:cs="Arial"/>
          <w:szCs w:val="20"/>
          <w:bdr w:val="nil"/>
          <w:lang w:val="nl-BE"/>
        </w:rPr>
        <w:t xml:space="preserve"> ingeschreven werkzoekende in dienst te nemen en voltijds in te zetten voor de uitvoering van een specifiek project (of de overdracht van een </w:t>
      </w:r>
      <w:proofErr w:type="spellStart"/>
      <w:r>
        <w:rPr>
          <w:rFonts w:eastAsia="Arial" w:cs="Arial"/>
          <w:szCs w:val="20"/>
          <w:bdr w:val="nil"/>
          <w:lang w:val="nl-BE"/>
        </w:rPr>
        <w:t>kmo</w:t>
      </w:r>
      <w:proofErr w:type="spellEnd"/>
      <w:r>
        <w:rPr>
          <w:rFonts w:eastAsia="Arial" w:cs="Arial"/>
          <w:szCs w:val="20"/>
          <w:bdr w:val="nil"/>
          <w:lang w:val="nl-BE"/>
        </w:rPr>
        <w:t>).</w:t>
      </w:r>
    </w:p>
    <w:p w:rsidR="00D7257A" w:rsidRPr="00A22E25" w:rsidRDefault="00D7257A" w:rsidP="00D7257A">
      <w:pPr>
        <w:rPr>
          <w:rFonts w:eastAsia="Arial Unicode MS" w:cs="Arial"/>
          <w:b/>
          <w:i/>
          <w:lang w:val="nl-BE"/>
        </w:rPr>
      </w:pPr>
      <w:r>
        <w:rPr>
          <w:rFonts w:eastAsia="Arial" w:cs="Arial"/>
          <w:b/>
          <w:bCs/>
          <w:i/>
          <w:iCs/>
          <w:szCs w:val="20"/>
          <w:bdr w:val="nil"/>
          <w:lang w:val="nl-BE"/>
        </w:rPr>
        <w:t>Wettelijke basissen</w:t>
      </w:r>
    </w:p>
    <w:p w:rsidR="00D7257A" w:rsidRPr="00A22E25" w:rsidRDefault="00D7257A" w:rsidP="00D7257A">
      <w:pPr>
        <w:rPr>
          <w:rFonts w:eastAsia="Arial Unicode MS" w:cs="Arial"/>
          <w:lang w:val="nl-BE"/>
        </w:rPr>
      </w:pPr>
      <w:r>
        <w:rPr>
          <w:rFonts w:eastAsia="Arial" w:cs="Arial"/>
          <w:szCs w:val="20"/>
          <w:bdr w:val="nil"/>
          <w:lang w:val="nl-BE"/>
        </w:rPr>
        <w:t>Organieke ordonnantie van 13 december 2007 betreffende de steun ter bevordering van de economische expansie (BS van 10 januari 2008).</w:t>
      </w:r>
    </w:p>
    <w:p w:rsidR="00D7257A" w:rsidRPr="00A22E25" w:rsidRDefault="00D7257A" w:rsidP="00D7257A">
      <w:pPr>
        <w:rPr>
          <w:rFonts w:eastAsia="Arial Unicode MS" w:cs="Arial"/>
          <w:lang w:val="nl-BE"/>
        </w:rPr>
      </w:pPr>
      <w:r>
        <w:rPr>
          <w:rFonts w:eastAsia="Arial" w:cs="Arial"/>
          <w:szCs w:val="20"/>
          <w:bdr w:val="nil"/>
          <w:lang w:val="nl-BE"/>
        </w:rPr>
        <w:t>Besluit van de Brusselse Hoofdstedelijke Regering van 26 juni 2008 (BS van 14 augustus 2008) betreffende de steun voor werving.</w:t>
      </w:r>
    </w:p>
    <w:p w:rsidR="00D7257A" w:rsidRPr="00A22E25" w:rsidRDefault="00D7257A" w:rsidP="00D7257A">
      <w:pPr>
        <w:rPr>
          <w:rFonts w:eastAsia="Arial Unicode MS" w:cs="Arial"/>
          <w:b/>
          <w:i/>
          <w:u w:val="single"/>
          <w:lang w:val="nl-BE"/>
        </w:rPr>
      </w:pPr>
      <w:r>
        <w:rPr>
          <w:rFonts w:eastAsia="Arial" w:cs="Arial"/>
          <w:b/>
          <w:bCs/>
          <w:i/>
          <w:iCs/>
          <w:szCs w:val="20"/>
          <w:bdr w:val="nil"/>
          <w:lang w:val="nl-BE"/>
        </w:rPr>
        <w:t>Vaststellingen</w:t>
      </w:r>
    </w:p>
    <w:p w:rsidR="00D7257A" w:rsidRPr="00A22E25" w:rsidRDefault="00D7257A" w:rsidP="00D7257A">
      <w:pPr>
        <w:rPr>
          <w:rFonts w:eastAsia="Arial Unicode MS" w:cs="Arial"/>
          <w:lang w:val="nl-BE"/>
        </w:rPr>
      </w:pPr>
      <w:r>
        <w:rPr>
          <w:rFonts w:eastAsia="Arial" w:cs="Arial"/>
          <w:szCs w:val="20"/>
          <w:bdr w:val="nil"/>
          <w:lang w:val="nl-BE"/>
        </w:rPr>
        <w:t xml:space="preserve">In 2017 werden 39 dossiers behandeld, waarvan er voor 22 een beslissing tot toekenning </w:t>
      </w:r>
      <w:proofErr w:type="gramStart"/>
      <w:r>
        <w:rPr>
          <w:rFonts w:eastAsia="Arial" w:cs="Arial"/>
          <w:szCs w:val="20"/>
          <w:bdr w:val="nil"/>
          <w:lang w:val="nl-BE"/>
        </w:rPr>
        <w:t xml:space="preserve">was.  </w:t>
      </w:r>
      <w:proofErr w:type="gramEnd"/>
      <w:r>
        <w:rPr>
          <w:rFonts w:eastAsia="Arial" w:cs="Arial"/>
          <w:szCs w:val="20"/>
          <w:bdr w:val="nil"/>
          <w:lang w:val="nl-BE"/>
        </w:rPr>
        <w:t>De specifieke projecten hadden vooral betrekking op innovatie (11 dossiers) en export buiten de EU (10 dossiers).</w:t>
      </w:r>
    </w:p>
    <w:p w:rsidR="00D7257A" w:rsidRPr="00A22E25" w:rsidRDefault="00D7257A" w:rsidP="00D7257A">
      <w:pPr>
        <w:rPr>
          <w:rFonts w:eastAsia="Arial Unicode MS" w:cs="Arial"/>
          <w:lang w:val="nl-BE"/>
        </w:rPr>
      </w:pPr>
      <w:proofErr w:type="gramStart"/>
      <w:r>
        <w:rPr>
          <w:rFonts w:eastAsia="Arial" w:cs="Arial"/>
          <w:szCs w:val="20"/>
          <w:bdr w:val="nil"/>
          <w:lang w:val="nl-BE"/>
        </w:rPr>
        <w:t xml:space="preserve">Vergeleken met vorig jaar stellen we een toename met 11,43% vast van het aantal behandelde dossiers. </w:t>
      </w:r>
      <w:proofErr w:type="gramEnd"/>
      <w:r>
        <w:rPr>
          <w:rFonts w:eastAsia="Arial" w:cs="Arial"/>
          <w:szCs w:val="20"/>
          <w:bdr w:val="nil"/>
          <w:lang w:val="nl-BE"/>
        </w:rPr>
        <w:t>Het weigeringscijfer is dan weer sterk toegenomen, van 31,43% in 2016 naar 43,59% in 2017.</w:t>
      </w:r>
    </w:p>
    <w:p w:rsidR="00D7257A" w:rsidRPr="00A22E25" w:rsidRDefault="00D7257A" w:rsidP="00D7257A">
      <w:pPr>
        <w:pStyle w:val="Titre4"/>
        <w:numPr>
          <w:ilvl w:val="3"/>
          <w:numId w:val="1"/>
        </w:numPr>
        <w:rPr>
          <w:rFonts w:eastAsia="Arial Unicode MS"/>
          <w:lang w:val="nl-BE"/>
        </w:rPr>
      </w:pPr>
      <w:r>
        <w:rPr>
          <w:rFonts w:eastAsia="Arial" w:cs="Arial"/>
          <w:szCs w:val="20"/>
          <w:bdr w:val="nil"/>
          <w:lang w:val="nl-BE"/>
        </w:rPr>
        <w:t xml:space="preserve">Aanwervingen ten gunste van vzw's die actief zijn in de begeleiding van </w:t>
      </w:r>
      <w:proofErr w:type="spellStart"/>
      <w:r>
        <w:rPr>
          <w:rFonts w:eastAsia="Arial" w:cs="Arial"/>
          <w:szCs w:val="20"/>
          <w:bdr w:val="nil"/>
          <w:lang w:val="nl-BE"/>
        </w:rPr>
        <w:t>kmo's</w:t>
      </w:r>
      <w:proofErr w:type="spellEnd"/>
      <w:r>
        <w:rPr>
          <w:rFonts w:eastAsia="Arial" w:cs="Arial"/>
          <w:szCs w:val="20"/>
          <w:bdr w:val="nil"/>
          <w:lang w:val="nl-BE"/>
        </w:rPr>
        <w:t xml:space="preserve">. </w:t>
      </w:r>
    </w:p>
    <w:p w:rsidR="00D7257A" w:rsidRPr="00A22E25" w:rsidRDefault="00D7257A" w:rsidP="00D7257A">
      <w:pPr>
        <w:rPr>
          <w:rFonts w:eastAsia="Arial Unicode MS" w:cs="Arial"/>
          <w:b/>
          <w:i/>
          <w:lang w:val="nl-BE"/>
        </w:rPr>
      </w:pPr>
      <w:r>
        <w:rPr>
          <w:rFonts w:eastAsia="Arial" w:cs="Arial"/>
          <w:b/>
          <w:bCs/>
          <w:i/>
          <w:iCs/>
          <w:szCs w:val="20"/>
          <w:bdr w:val="nil"/>
          <w:lang w:val="nl-BE"/>
        </w:rPr>
        <w:t>Wettelijke basissen</w:t>
      </w:r>
    </w:p>
    <w:p w:rsidR="00D7257A" w:rsidRPr="00A22E25" w:rsidRDefault="00D7257A" w:rsidP="00D7257A">
      <w:pPr>
        <w:rPr>
          <w:rFonts w:eastAsia="Arial Unicode MS" w:cs="Arial"/>
          <w:lang w:val="nl-BE"/>
        </w:rPr>
      </w:pPr>
      <w:r>
        <w:rPr>
          <w:rFonts w:eastAsia="Arial" w:cs="Arial"/>
          <w:szCs w:val="20"/>
          <w:bdr w:val="nil"/>
          <w:lang w:val="nl-BE"/>
        </w:rPr>
        <w:t>Organieke ordonnantie van 13 december 2007 betreffende de steun ter bevordering van de economische expansie (BS van 10 januari 2008).</w:t>
      </w:r>
    </w:p>
    <w:p w:rsidR="00D7257A" w:rsidRPr="00A22E25" w:rsidRDefault="00D7257A" w:rsidP="00D7257A">
      <w:pPr>
        <w:rPr>
          <w:rFonts w:eastAsia="Arial Unicode MS" w:cs="Arial"/>
          <w:lang w:val="nl-BE"/>
        </w:rPr>
      </w:pPr>
      <w:r>
        <w:rPr>
          <w:rFonts w:eastAsia="Arial" w:cs="Arial"/>
          <w:szCs w:val="20"/>
          <w:bdr w:val="nil"/>
          <w:lang w:val="nl-BE"/>
        </w:rPr>
        <w:t xml:space="preserve">Besluit van de Brusselse Hoofdstedelijke Regering van 24 april 2014 (BS van 30 mei 2014) betreffende de steun bij rekrutering ten gunste van de verenigingen zonder winstoogmerk, de internationale verenigingen zonder winstoogmerk en de fondsen actief </w:t>
      </w:r>
      <w:proofErr w:type="gramStart"/>
      <w:r>
        <w:rPr>
          <w:rFonts w:eastAsia="Arial" w:cs="Arial"/>
          <w:szCs w:val="20"/>
          <w:bdr w:val="nil"/>
          <w:lang w:val="nl-BE"/>
        </w:rPr>
        <w:t>inzake</w:t>
      </w:r>
      <w:proofErr w:type="gramEnd"/>
      <w:r>
        <w:rPr>
          <w:rFonts w:eastAsia="Arial" w:cs="Arial"/>
          <w:szCs w:val="20"/>
          <w:bdr w:val="nil"/>
          <w:lang w:val="nl-BE"/>
        </w:rPr>
        <w:t xml:space="preserve"> de begeleiding van micro-, kleine en middelgrote ondernemingen.</w:t>
      </w:r>
    </w:p>
    <w:p w:rsidR="00D7257A" w:rsidRPr="00A22E25" w:rsidRDefault="00D7257A" w:rsidP="00D7257A">
      <w:pPr>
        <w:rPr>
          <w:rFonts w:eastAsia="Arial Unicode MS" w:cs="Arial"/>
          <w:b/>
          <w:i/>
          <w:lang w:val="nl-BE"/>
        </w:rPr>
      </w:pPr>
      <w:r>
        <w:rPr>
          <w:rFonts w:eastAsia="Arial" w:cs="Arial"/>
          <w:b/>
          <w:bCs/>
          <w:i/>
          <w:iCs/>
          <w:szCs w:val="20"/>
          <w:bdr w:val="nil"/>
          <w:lang w:val="nl-BE"/>
        </w:rPr>
        <w:t>Vaststellingen</w:t>
      </w:r>
    </w:p>
    <w:p w:rsidR="00D7257A" w:rsidRPr="00A22E25" w:rsidRDefault="00D7257A" w:rsidP="00D7257A">
      <w:pPr>
        <w:rPr>
          <w:rFonts w:eastAsia="Arial Unicode MS" w:cs="Arial"/>
          <w:lang w:val="nl-BE"/>
        </w:rPr>
      </w:pPr>
      <w:r>
        <w:rPr>
          <w:rFonts w:eastAsia="Arial" w:cs="Arial"/>
          <w:szCs w:val="20"/>
          <w:bdr w:val="nil"/>
          <w:lang w:val="nl-BE"/>
        </w:rPr>
        <w:t>In 2017 werden 2 aanvragen behandeld en met een gunstige beslissing afgesloten.</w:t>
      </w:r>
    </w:p>
    <w:p w:rsidR="00D7257A" w:rsidRPr="00A22E25" w:rsidRDefault="00D7257A" w:rsidP="00D7257A">
      <w:pPr>
        <w:rPr>
          <w:rFonts w:eastAsia="Arial Unicode MS" w:cs="Arial"/>
          <w:lang w:val="nl-BE"/>
        </w:rPr>
      </w:pPr>
      <w:r>
        <w:rPr>
          <w:rFonts w:eastAsia="Arial" w:cs="Arial"/>
          <w:szCs w:val="20"/>
          <w:bdr w:val="nil"/>
          <w:lang w:val="nl-BE"/>
        </w:rPr>
        <w:t>In 2016 werd 1 dossier behandeld waarvoor een tegemoetkoming werd toegekend.</w:t>
      </w:r>
    </w:p>
    <w:p w:rsidR="00D7257A" w:rsidRPr="00A22E25" w:rsidRDefault="00D7257A" w:rsidP="00D7257A">
      <w:pPr>
        <w:jc w:val="left"/>
        <w:rPr>
          <w:rFonts w:eastAsia="Arial Unicode MS" w:cs="Arial"/>
          <w:b/>
          <w:u w:val="single"/>
          <w:lang w:val="nl-BE"/>
        </w:rPr>
      </w:pPr>
      <w:r w:rsidRPr="00A22E25">
        <w:rPr>
          <w:rFonts w:eastAsia="Arial Unicode MS" w:cs="Arial"/>
          <w:b/>
          <w:u w:val="single"/>
          <w:lang w:val="nl-BE"/>
        </w:rPr>
        <w:br w:type="page"/>
      </w:r>
    </w:p>
    <w:p w:rsidR="00D7257A" w:rsidRDefault="00D7257A" w:rsidP="00D7257A">
      <w:pPr>
        <w:pStyle w:val="Titre4"/>
        <w:numPr>
          <w:ilvl w:val="3"/>
          <w:numId w:val="1"/>
        </w:numPr>
        <w:rPr>
          <w:rFonts w:eastAsia="Arial Unicode MS"/>
        </w:rPr>
      </w:pPr>
      <w:r>
        <w:rPr>
          <w:rFonts w:eastAsia="Arial" w:cs="Arial"/>
          <w:szCs w:val="20"/>
          <w:bdr w:val="nil"/>
          <w:lang w:val="nl-BE"/>
        </w:rPr>
        <w:lastRenderedPageBreak/>
        <w:t>Kinderopvang</w:t>
      </w:r>
    </w:p>
    <w:p w:rsidR="00D7257A" w:rsidRPr="00A22E25" w:rsidRDefault="00D7257A" w:rsidP="00D7257A">
      <w:pPr>
        <w:rPr>
          <w:lang w:val="nl-BE"/>
        </w:rPr>
      </w:pPr>
      <w:r>
        <w:rPr>
          <w:rFonts w:eastAsia="Arial" w:cs="Arial"/>
          <w:szCs w:val="20"/>
          <w:bdr w:val="nil"/>
          <w:lang w:val="nl-BE"/>
        </w:rPr>
        <w:t>Deze tegemoetkoming bestaat uit een financiële steun aan ondernemingen die opvangplaatsen voorbehouden voor de kinderen van 0 tot 3 jaar van hun personeelsleden.</w:t>
      </w:r>
    </w:p>
    <w:p w:rsidR="00D7257A" w:rsidRPr="00A22E25" w:rsidRDefault="00D7257A" w:rsidP="00D7257A">
      <w:pPr>
        <w:rPr>
          <w:rFonts w:eastAsia="Arial Unicode MS" w:cs="Arial"/>
          <w:b/>
          <w:i/>
          <w:lang w:val="nl-BE"/>
        </w:rPr>
      </w:pPr>
      <w:r>
        <w:rPr>
          <w:rFonts w:eastAsia="Arial" w:cs="Arial"/>
          <w:b/>
          <w:bCs/>
          <w:i/>
          <w:iCs/>
          <w:szCs w:val="20"/>
          <w:bdr w:val="nil"/>
          <w:lang w:val="nl-BE"/>
        </w:rPr>
        <w:t>Wettelijke basissen</w:t>
      </w:r>
    </w:p>
    <w:p w:rsidR="00D7257A" w:rsidRPr="00A22E25" w:rsidRDefault="00D7257A" w:rsidP="00D7257A">
      <w:pPr>
        <w:rPr>
          <w:rFonts w:eastAsia="Arial Unicode MS" w:cs="Arial"/>
          <w:lang w:val="nl-BE"/>
        </w:rPr>
      </w:pPr>
      <w:r>
        <w:rPr>
          <w:rFonts w:eastAsia="Arial" w:cs="Arial"/>
          <w:szCs w:val="20"/>
          <w:bdr w:val="nil"/>
          <w:lang w:val="nl-BE"/>
        </w:rPr>
        <w:t>Organieke ordonnantie van 13 december 2007 betreffende de steun ter bevordering van de economische expansie (BS van 10 januari 2008).</w:t>
      </w:r>
    </w:p>
    <w:p w:rsidR="00D7257A" w:rsidRPr="00A22E25" w:rsidRDefault="00D7257A" w:rsidP="00D7257A">
      <w:pPr>
        <w:rPr>
          <w:rFonts w:eastAsia="Arial Unicode MS" w:cs="Arial"/>
          <w:lang w:val="nl-BE"/>
        </w:rPr>
      </w:pPr>
      <w:r>
        <w:rPr>
          <w:rFonts w:eastAsia="Arial" w:cs="Arial"/>
          <w:szCs w:val="20"/>
          <w:bdr w:val="nil"/>
          <w:lang w:val="nl-BE"/>
        </w:rPr>
        <w:t>Besluit van de Brusselse Hoofdstedelijke Regering van 26 juni 2008 (BS van 14 augustus 2008) betreffende steun aan ondernemingen bestemd voor de kinderopvang.</w:t>
      </w:r>
    </w:p>
    <w:p w:rsidR="00D7257A" w:rsidRPr="00A22E25" w:rsidRDefault="00D7257A" w:rsidP="00D7257A">
      <w:pPr>
        <w:rPr>
          <w:rFonts w:eastAsia="Arial Unicode MS" w:cs="Arial"/>
          <w:b/>
          <w:i/>
          <w:lang w:val="nl-BE"/>
        </w:rPr>
      </w:pPr>
      <w:r>
        <w:rPr>
          <w:rFonts w:eastAsia="Arial" w:cs="Arial"/>
          <w:b/>
          <w:bCs/>
          <w:i/>
          <w:iCs/>
          <w:szCs w:val="20"/>
          <w:bdr w:val="nil"/>
          <w:lang w:val="nl-BE"/>
        </w:rPr>
        <w:t>Vaststellingen</w:t>
      </w:r>
    </w:p>
    <w:p w:rsidR="00D7257A" w:rsidRPr="00A22E25" w:rsidRDefault="00D7257A" w:rsidP="00D7257A">
      <w:pPr>
        <w:rPr>
          <w:rFonts w:eastAsia="Arial Unicode MS" w:cs="Arial"/>
          <w:lang w:val="nl-BE"/>
        </w:rPr>
      </w:pPr>
      <w:r>
        <w:rPr>
          <w:rFonts w:eastAsia="Arial" w:cs="Arial"/>
          <w:szCs w:val="20"/>
          <w:bdr w:val="nil"/>
          <w:lang w:val="nl-BE"/>
        </w:rPr>
        <w:t>In 2017 werden 61 dossiers behandeld. Voor 61 dossiers was de genomen beslissing gunstig, dat wil zeggen 80,32% van de behandelde aanvragen. De € 213.000 aan premies komt overeen met het voorbehouden van 53 nieuwe plaatsen in crèches.</w:t>
      </w:r>
    </w:p>
    <w:p w:rsidR="00D7257A" w:rsidRPr="00A22E25" w:rsidRDefault="00D7257A" w:rsidP="00D7257A">
      <w:pPr>
        <w:rPr>
          <w:rFonts w:eastAsia="Arial Unicode MS" w:cs="Arial"/>
          <w:lang w:val="nl-BE"/>
        </w:rPr>
      </w:pPr>
      <w:r>
        <w:rPr>
          <w:rFonts w:eastAsia="Arial" w:cs="Arial"/>
          <w:szCs w:val="20"/>
          <w:bdr w:val="nil"/>
          <w:lang w:val="nl-BE"/>
        </w:rPr>
        <w:t xml:space="preserve">In vergelijking met het vorige jaar stellen we een afname met 37,75% vast van het aantal behandelde dossiers, wat gedeeltelijk te verklaren valt door een daling van het aantal ingediende aanvragen met 22,45% en de vervanging van de coördinator </w:t>
      </w:r>
      <w:proofErr w:type="gramStart"/>
      <w:r>
        <w:rPr>
          <w:rFonts w:eastAsia="Arial" w:cs="Arial"/>
          <w:szCs w:val="20"/>
          <w:bdr w:val="nil"/>
          <w:lang w:val="nl-BE"/>
        </w:rPr>
        <w:t>inzake</w:t>
      </w:r>
      <w:proofErr w:type="gramEnd"/>
      <w:r>
        <w:rPr>
          <w:rFonts w:eastAsia="Arial" w:cs="Arial"/>
          <w:szCs w:val="20"/>
          <w:bdr w:val="nil"/>
          <w:lang w:val="nl-BE"/>
        </w:rPr>
        <w:t xml:space="preserve"> de materie.</w:t>
      </w:r>
    </w:p>
    <w:p w:rsidR="00D7257A" w:rsidRPr="00A22E25" w:rsidRDefault="00D7257A" w:rsidP="00D7257A">
      <w:pPr>
        <w:pStyle w:val="Titre3"/>
        <w:numPr>
          <w:ilvl w:val="2"/>
          <w:numId w:val="1"/>
        </w:numPr>
        <w:rPr>
          <w:rFonts w:eastAsia="Arial Unicode MS"/>
          <w:lang w:val="nl-BE"/>
        </w:rPr>
      </w:pPr>
      <w:bookmarkStart w:id="18" w:name="_Toc518917038"/>
      <w:r>
        <w:rPr>
          <w:rFonts w:eastAsia="Arial" w:cs="Arial"/>
          <w:szCs w:val="20"/>
          <w:bdr w:val="nil"/>
          <w:lang w:val="nl-BE"/>
        </w:rPr>
        <w:t>Opsplitsing van de dossiers met toegekende steun volgens de grootte van de onderneming</w:t>
      </w:r>
      <w:bookmarkEnd w:id="18"/>
    </w:p>
    <w:p w:rsidR="00D7257A" w:rsidRPr="00A22E25" w:rsidRDefault="00D7257A" w:rsidP="00D7257A">
      <w:pPr>
        <w:rPr>
          <w:rFonts w:eastAsia="Arial Unicode MS" w:cs="Arial"/>
          <w:b/>
          <w:sz w:val="24"/>
          <w:szCs w:val="24"/>
          <w:lang w:val="nl-BE"/>
        </w:rPr>
      </w:pPr>
      <w:r>
        <w:rPr>
          <w:rFonts w:eastAsia="Arial" w:cs="Arial"/>
          <w:b/>
          <w:bCs/>
          <w:sz w:val="24"/>
          <w:szCs w:val="24"/>
          <w:bdr w:val="nil"/>
          <w:lang w:val="nl-BE"/>
        </w:rPr>
        <w:t xml:space="preserve">       </w:t>
      </w:r>
      <w:r>
        <w:rPr>
          <w:rFonts w:eastAsia="Arial" w:cs="Arial"/>
          <w:szCs w:val="20"/>
          <w:bdr w:val="nil"/>
          <w:lang w:val="nl-BE"/>
        </w:rPr>
        <w:t>(definitie van de grootte: zie bijlage)</w:t>
      </w:r>
    </w:p>
    <w:p w:rsidR="00D7257A" w:rsidRPr="00A22E25" w:rsidRDefault="00D7257A" w:rsidP="00D7257A">
      <w:pPr>
        <w:rPr>
          <w:lang w:val="nl-BE"/>
        </w:rPr>
      </w:pPr>
      <w:r>
        <w:rPr>
          <w:rFonts w:eastAsia="Arial" w:cs="Arial"/>
          <w:szCs w:val="20"/>
          <w:bdr w:val="nil"/>
          <w:lang w:val="nl-BE"/>
        </w:rPr>
        <w:t>De "</w:t>
      </w:r>
      <w:proofErr w:type="spellStart"/>
      <w:r>
        <w:rPr>
          <w:rFonts w:eastAsia="Arial" w:cs="Arial"/>
          <w:szCs w:val="20"/>
          <w:bdr w:val="nil"/>
          <w:lang w:val="nl-BE"/>
        </w:rPr>
        <w:t>softsteun</w:t>
      </w:r>
      <w:proofErr w:type="spellEnd"/>
      <w:r>
        <w:rPr>
          <w:rFonts w:eastAsia="Arial" w:cs="Arial"/>
          <w:szCs w:val="20"/>
          <w:bdr w:val="nil"/>
          <w:lang w:val="nl-BE"/>
        </w:rPr>
        <w:t xml:space="preserve">" werd voornamelijk toegekend aan micro-ondernemingen. </w:t>
      </w:r>
    </w:p>
    <w:p w:rsidR="00D7257A" w:rsidRPr="00A22E25" w:rsidRDefault="00D7257A" w:rsidP="00D7257A">
      <w:pPr>
        <w:rPr>
          <w:rFonts w:eastAsia="Arial Unicode MS" w:cs="Arial"/>
          <w:b/>
          <w:sz w:val="24"/>
          <w:szCs w:val="24"/>
          <w:lang w:val="nl-BE"/>
        </w:rPr>
      </w:pPr>
      <w:r>
        <w:rPr>
          <w:rFonts w:eastAsia="Arial" w:cs="Arial"/>
          <w:szCs w:val="20"/>
          <w:bdr w:val="nil"/>
          <w:lang w:val="nl-BE"/>
        </w:rPr>
        <w:t>Deze analyse sluit steun voor pre-activiteit, kinderopvang, terbeschikkingstelling en aanwerving vzw uit wanneer de grootte van de onderneming niet van toepassing is of als die ook door grote ondernemingen verkregen kan worden.</w:t>
      </w:r>
    </w:p>
    <w:p w:rsidR="00D7257A" w:rsidRPr="00B313B6" w:rsidRDefault="00D7257A" w:rsidP="00D7257A">
      <w:pPr>
        <w:ind w:left="360"/>
        <w:rPr>
          <w:rFonts w:eastAsia="Arial Unicode MS" w:cs="Arial"/>
          <w:b/>
          <w:sz w:val="24"/>
          <w:szCs w:val="24"/>
        </w:rPr>
      </w:pPr>
      <w:r>
        <w:rPr>
          <w:noProof/>
          <w:color w:val="FF0000"/>
          <w:lang w:eastAsia="fr-BE"/>
        </w:rPr>
        <w:drawing>
          <wp:inline distT="0" distB="0" distL="0" distR="0" wp14:anchorId="2A5D47E5" wp14:editId="579BF402">
            <wp:extent cx="5358809" cy="1786270"/>
            <wp:effectExtent l="0" t="0" r="0" b="0"/>
            <wp:docPr id="10" name="Graphique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7257A" w:rsidRDefault="00D7257A" w:rsidP="00D7257A">
      <w:pPr>
        <w:jc w:val="left"/>
        <w:rPr>
          <w:rFonts w:eastAsia="Arial Unicode MS" w:cstheme="majorBidi"/>
          <w:bCs/>
          <w:color w:val="0A00BE"/>
        </w:rPr>
      </w:pPr>
      <w:r>
        <w:rPr>
          <w:rFonts w:eastAsia="Arial Unicode MS"/>
        </w:rPr>
        <w:br w:type="page"/>
      </w:r>
    </w:p>
    <w:p w:rsidR="00D7257A" w:rsidRPr="00A22E25" w:rsidRDefault="00D7257A" w:rsidP="00D7257A">
      <w:pPr>
        <w:pStyle w:val="Titre3"/>
        <w:numPr>
          <w:ilvl w:val="2"/>
          <w:numId w:val="1"/>
        </w:numPr>
        <w:rPr>
          <w:rFonts w:eastAsia="Arial Unicode MS"/>
          <w:lang w:val="nl-BE"/>
        </w:rPr>
      </w:pPr>
      <w:bookmarkStart w:id="19" w:name="_Toc518917039"/>
      <w:r>
        <w:rPr>
          <w:rFonts w:eastAsia="Arial" w:cs="Arial"/>
          <w:szCs w:val="20"/>
          <w:bdr w:val="nil"/>
          <w:lang w:val="nl-BE"/>
        </w:rPr>
        <w:lastRenderedPageBreak/>
        <w:t>Opsplitsing van de toegekende premies volgens de activiteitensector (NACEBEL)</w:t>
      </w:r>
      <w:bookmarkEnd w:id="19"/>
    </w:p>
    <w:p w:rsidR="00D7257A" w:rsidRPr="00A22E25" w:rsidRDefault="00D7257A" w:rsidP="00D7257A">
      <w:pPr>
        <w:rPr>
          <w:rFonts w:eastAsia="Arial Unicode MS" w:cs="Arial"/>
          <w:lang w:val="nl-BE"/>
        </w:rPr>
      </w:pPr>
      <w:r>
        <w:rPr>
          <w:rFonts w:eastAsia="Arial" w:cs="Arial"/>
          <w:szCs w:val="20"/>
          <w:bdr w:val="nil"/>
          <w:lang w:val="nl-BE"/>
        </w:rPr>
        <w:t xml:space="preserve">            (definitie van de activiteitensectoren: zie bijlage)</w:t>
      </w:r>
    </w:p>
    <w:p w:rsidR="00D7257A" w:rsidRPr="00A22E25" w:rsidRDefault="00D7257A" w:rsidP="00D7257A">
      <w:pPr>
        <w:ind w:left="126"/>
        <w:rPr>
          <w:rFonts w:eastAsia="Arial Unicode MS" w:cs="Arial"/>
          <w:lang w:val="nl-BE"/>
        </w:rPr>
      </w:pPr>
      <w:r>
        <w:rPr>
          <w:rFonts w:eastAsia="Arial" w:cs="Arial"/>
          <w:szCs w:val="20"/>
          <w:bdr w:val="nil"/>
          <w:lang w:val="nl-BE"/>
        </w:rPr>
        <w:t>Met uitzondering van de steun voor preactiviteit en aanwerving vzw is de "</w:t>
      </w:r>
      <w:proofErr w:type="spellStart"/>
      <w:r>
        <w:rPr>
          <w:rFonts w:eastAsia="Arial" w:cs="Arial"/>
          <w:szCs w:val="20"/>
          <w:bdr w:val="nil"/>
          <w:lang w:val="nl-BE"/>
        </w:rPr>
        <w:t>softsteun</w:t>
      </w:r>
      <w:proofErr w:type="spellEnd"/>
      <w:r>
        <w:rPr>
          <w:rFonts w:eastAsia="Arial" w:cs="Arial"/>
          <w:szCs w:val="20"/>
          <w:bdr w:val="nil"/>
          <w:lang w:val="nl-BE"/>
        </w:rPr>
        <w:t>" vooral ten goede gekomen aan ondernemingen uit de sectoren "Gespecialiseerde, wetenschappelijke en technische activiteiten" en "Informatie en communicatie".</w:t>
      </w:r>
    </w:p>
    <w:p w:rsidR="00D7257A" w:rsidRPr="00A22E25" w:rsidRDefault="00D7257A" w:rsidP="00D7257A">
      <w:pPr>
        <w:ind w:left="126"/>
        <w:rPr>
          <w:rFonts w:eastAsia="Arial Unicode MS" w:cs="Arial"/>
          <w:lang w:val="nl-BE"/>
        </w:rPr>
      </w:pPr>
      <w:r>
        <w:rPr>
          <w:rFonts w:eastAsia="Arial" w:cs="Arial"/>
          <w:szCs w:val="20"/>
          <w:bdr w:val="nil"/>
          <w:lang w:val="nl-BE"/>
        </w:rPr>
        <w:t>Deze analyse sluit steun voor pre-activiteit en aanwerving vzw uit omdat die begunstigden niet over een NACEBEL-code beschikken.</w:t>
      </w:r>
    </w:p>
    <w:p w:rsidR="00D7257A" w:rsidRDefault="00D7257A" w:rsidP="00D7257A">
      <w:pPr>
        <w:rPr>
          <w:rFonts w:eastAsiaTheme="majorEastAsia" w:cstheme="majorBidi"/>
          <w:bCs/>
          <w:color w:val="0A00BE"/>
          <w:sz w:val="26"/>
          <w:szCs w:val="26"/>
        </w:rPr>
      </w:pPr>
      <w:r>
        <w:rPr>
          <w:rFonts w:eastAsia="Arial Unicode MS" w:cs="Arial"/>
          <w:noProof/>
          <w:sz w:val="24"/>
          <w:lang w:eastAsia="fr-BE"/>
        </w:rPr>
        <w:drawing>
          <wp:inline distT="0" distB="0" distL="0" distR="0" wp14:anchorId="14ECC613" wp14:editId="5A77761B">
            <wp:extent cx="5645889" cy="2918213"/>
            <wp:effectExtent l="0" t="0" r="0" b="0"/>
            <wp:docPr id="9" name="Graphique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br w:type="page"/>
      </w:r>
    </w:p>
    <w:p w:rsidR="00D7257A" w:rsidRPr="00AD11D4" w:rsidRDefault="00D7257A" w:rsidP="00D7257A">
      <w:pPr>
        <w:pStyle w:val="Titre2"/>
        <w:numPr>
          <w:ilvl w:val="1"/>
          <w:numId w:val="1"/>
        </w:numPr>
      </w:pPr>
      <w:bookmarkStart w:id="20" w:name="_Toc518917040"/>
      <w:r>
        <w:rPr>
          <w:rFonts w:eastAsia="Arial" w:cs="Arial"/>
          <w:bdr w:val="nil"/>
          <w:lang w:val="nl-BE"/>
        </w:rPr>
        <w:lastRenderedPageBreak/>
        <w:t>Steun voor algemene investeringen</w:t>
      </w:r>
      <w:bookmarkEnd w:id="20"/>
    </w:p>
    <w:p w:rsidR="00D7257A" w:rsidRDefault="00D7257A" w:rsidP="00D7257A">
      <w:pPr>
        <w:pStyle w:val="Titre3"/>
        <w:numPr>
          <w:ilvl w:val="2"/>
          <w:numId w:val="1"/>
        </w:numPr>
        <w:rPr>
          <w:rFonts w:eastAsia="Arial Unicode MS"/>
        </w:rPr>
      </w:pPr>
      <w:bookmarkStart w:id="21" w:name="_Toc518917041"/>
      <w:r>
        <w:rPr>
          <w:rFonts w:eastAsia="Arial" w:cs="Arial"/>
          <w:szCs w:val="20"/>
          <w:bdr w:val="nil"/>
          <w:lang w:val="nl-BE"/>
        </w:rPr>
        <w:t>Overzicht</w:t>
      </w:r>
      <w:bookmarkEnd w:id="21"/>
    </w:p>
    <w:p w:rsidR="00D7257A" w:rsidRPr="00A22E25" w:rsidRDefault="00D7257A" w:rsidP="00D7257A">
      <w:pPr>
        <w:rPr>
          <w:lang w:val="nl-BE"/>
        </w:rPr>
      </w:pPr>
      <w:r>
        <w:rPr>
          <w:rFonts w:eastAsia="Arial" w:cs="Arial"/>
          <w:szCs w:val="20"/>
          <w:bdr w:val="nil"/>
          <w:lang w:val="nl-BE"/>
        </w:rPr>
        <w:t xml:space="preserve">De algemene investeringen omvatten de subsidies die toegekend worden aan zelfstandigen en </w:t>
      </w:r>
      <w:proofErr w:type="spellStart"/>
      <w:r>
        <w:rPr>
          <w:rFonts w:eastAsia="Arial" w:cs="Arial"/>
          <w:szCs w:val="20"/>
          <w:bdr w:val="nil"/>
          <w:lang w:val="nl-BE"/>
        </w:rPr>
        <w:t>kmo's</w:t>
      </w:r>
      <w:proofErr w:type="spellEnd"/>
      <w:r>
        <w:rPr>
          <w:rFonts w:eastAsia="Arial" w:cs="Arial"/>
          <w:szCs w:val="20"/>
          <w:bdr w:val="nil"/>
          <w:lang w:val="nl-BE"/>
        </w:rPr>
        <w:t xml:space="preserve"> voor investeringen in vastgoed en materiaal en immateriële investeringen, aan variabele tegemoetkomingspercentages volgens de grootte van de onderneming en haar ligging t.o.v. de op onderstaande kaart getoonde ontwikkelingszone.</w:t>
      </w:r>
    </w:p>
    <w:tbl>
      <w:tblPr>
        <w:tblW w:w="10065" w:type="dxa"/>
        <w:tblInd w:w="-356"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836"/>
        <w:gridCol w:w="1559"/>
        <w:gridCol w:w="1701"/>
        <w:gridCol w:w="1701"/>
        <w:gridCol w:w="2268"/>
      </w:tblGrid>
      <w:tr w:rsidR="00D7257A" w:rsidRPr="00A22E25" w:rsidTr="0065334C">
        <w:tc>
          <w:tcPr>
            <w:tcW w:w="2836" w:type="dxa"/>
            <w:tcBorders>
              <w:bottom w:val="single" w:sz="18" w:space="0" w:color="auto"/>
            </w:tcBorders>
            <w:shd w:val="clear" w:color="auto" w:fill="auto"/>
          </w:tcPr>
          <w:p w:rsidR="00D7257A" w:rsidRPr="00262071" w:rsidRDefault="00D7257A" w:rsidP="00306013">
            <w:pPr>
              <w:ind w:left="57"/>
              <w:jc w:val="center"/>
              <w:rPr>
                <w:rFonts w:eastAsia="Arial Unicode MS" w:cs="Arial"/>
                <w:bCs/>
              </w:rPr>
            </w:pPr>
            <w:r>
              <w:rPr>
                <w:rFonts w:eastAsia="Arial" w:cs="Arial"/>
                <w:bCs/>
                <w:szCs w:val="20"/>
                <w:bdr w:val="nil"/>
                <w:lang w:val="nl-BE"/>
              </w:rPr>
              <w:t xml:space="preserve">Aantal ingediende dossiers </w:t>
            </w:r>
          </w:p>
        </w:tc>
        <w:tc>
          <w:tcPr>
            <w:tcW w:w="1559" w:type="dxa"/>
            <w:tcBorders>
              <w:bottom w:val="single" w:sz="18" w:space="0" w:color="auto"/>
            </w:tcBorders>
            <w:shd w:val="clear" w:color="auto" w:fill="auto"/>
          </w:tcPr>
          <w:p w:rsidR="00D7257A" w:rsidRPr="00A22E25" w:rsidRDefault="00D7257A" w:rsidP="00306013">
            <w:pPr>
              <w:ind w:left="57"/>
              <w:jc w:val="center"/>
              <w:rPr>
                <w:rFonts w:eastAsia="Arial Unicode MS" w:cs="Arial"/>
                <w:bCs/>
                <w:lang w:val="nl-BE"/>
              </w:rPr>
            </w:pPr>
            <w:r>
              <w:rPr>
                <w:rFonts w:eastAsia="Arial" w:cs="Arial"/>
                <w:bCs/>
                <w:szCs w:val="20"/>
                <w:bdr w:val="nil"/>
                <w:lang w:val="nl-BE"/>
              </w:rPr>
              <w:t>Totaal aantal dossiers met een beslissing</w:t>
            </w:r>
          </w:p>
        </w:tc>
        <w:tc>
          <w:tcPr>
            <w:tcW w:w="1701" w:type="dxa"/>
            <w:tcBorders>
              <w:bottom w:val="single" w:sz="18" w:space="0" w:color="auto"/>
            </w:tcBorders>
          </w:tcPr>
          <w:p w:rsidR="00D7257A" w:rsidRPr="00262071" w:rsidRDefault="00D7257A" w:rsidP="00306013">
            <w:pPr>
              <w:ind w:left="57"/>
              <w:jc w:val="center"/>
              <w:rPr>
                <w:rFonts w:eastAsia="Arial Unicode MS" w:cs="Arial"/>
                <w:bCs/>
              </w:rPr>
            </w:pPr>
            <w:r>
              <w:rPr>
                <w:rFonts w:eastAsia="Arial" w:cs="Arial"/>
                <w:bCs/>
                <w:szCs w:val="20"/>
                <w:bdr w:val="nil"/>
                <w:lang w:val="nl-BE"/>
              </w:rPr>
              <w:t>Beslissingen</w:t>
            </w:r>
            <w:r>
              <w:rPr>
                <w:rFonts w:eastAsia="Arial" w:cs="Arial"/>
                <w:bCs/>
                <w:szCs w:val="20"/>
                <w:bdr w:val="nil"/>
                <w:lang w:val="nl-BE"/>
              </w:rPr>
              <w:br/>
              <w:t xml:space="preserve"> tot toekenning</w:t>
            </w:r>
          </w:p>
        </w:tc>
        <w:tc>
          <w:tcPr>
            <w:tcW w:w="1701" w:type="dxa"/>
            <w:tcBorders>
              <w:bottom w:val="single" w:sz="18" w:space="0" w:color="auto"/>
            </w:tcBorders>
          </w:tcPr>
          <w:p w:rsidR="00D7257A" w:rsidRPr="00262071" w:rsidRDefault="00D7257A" w:rsidP="00306013">
            <w:pPr>
              <w:ind w:left="57"/>
              <w:jc w:val="center"/>
              <w:rPr>
                <w:rFonts w:eastAsia="Arial Unicode MS" w:cs="Arial"/>
                <w:bCs/>
              </w:rPr>
            </w:pPr>
            <w:r>
              <w:rPr>
                <w:rFonts w:eastAsia="Arial" w:cs="Arial"/>
                <w:bCs/>
                <w:szCs w:val="20"/>
                <w:bdr w:val="nil"/>
                <w:lang w:val="nl-BE"/>
              </w:rPr>
              <w:t>Beslissingen</w:t>
            </w:r>
            <w:r>
              <w:rPr>
                <w:rFonts w:eastAsia="Arial" w:cs="Arial"/>
                <w:bCs/>
                <w:szCs w:val="20"/>
                <w:bdr w:val="nil"/>
                <w:lang w:val="nl-BE"/>
              </w:rPr>
              <w:br/>
              <w:t xml:space="preserve"> tot weigering</w:t>
            </w:r>
          </w:p>
        </w:tc>
        <w:tc>
          <w:tcPr>
            <w:tcW w:w="2268" w:type="dxa"/>
            <w:tcBorders>
              <w:bottom w:val="single" w:sz="18" w:space="0" w:color="auto"/>
            </w:tcBorders>
            <w:shd w:val="clear" w:color="auto" w:fill="auto"/>
          </w:tcPr>
          <w:p w:rsidR="00D7257A" w:rsidRPr="00A22E25" w:rsidRDefault="00D7257A" w:rsidP="00306013">
            <w:pPr>
              <w:ind w:left="57"/>
              <w:jc w:val="center"/>
              <w:rPr>
                <w:rFonts w:eastAsia="Arial Unicode MS" w:cs="Arial"/>
                <w:bCs/>
                <w:lang w:val="nl-BE"/>
              </w:rPr>
            </w:pPr>
            <w:r>
              <w:rPr>
                <w:rFonts w:eastAsia="Arial" w:cs="Arial"/>
                <w:bCs/>
                <w:szCs w:val="20"/>
                <w:bdr w:val="nil"/>
                <w:lang w:val="nl-BE"/>
              </w:rPr>
              <w:t>Bedrag van de premies in €</w:t>
            </w:r>
          </w:p>
        </w:tc>
      </w:tr>
      <w:tr w:rsidR="00D7257A" w:rsidTr="0065334C">
        <w:tc>
          <w:tcPr>
            <w:tcW w:w="2836" w:type="dxa"/>
            <w:tcBorders>
              <w:top w:val="single" w:sz="18" w:space="0" w:color="auto"/>
              <w:bottom w:val="single" w:sz="18" w:space="0" w:color="auto"/>
            </w:tcBorders>
            <w:shd w:val="clear" w:color="auto" w:fill="auto"/>
          </w:tcPr>
          <w:p w:rsidR="00D7257A" w:rsidRPr="00A22E25" w:rsidRDefault="00D7257A" w:rsidP="00306013">
            <w:pPr>
              <w:jc w:val="center"/>
              <w:rPr>
                <w:rFonts w:eastAsia="Arial Unicode MS" w:cs="Arial"/>
                <w:bCs/>
                <w:lang w:val="nl-BE"/>
              </w:rPr>
            </w:pPr>
          </w:p>
          <w:p w:rsidR="00D7257A" w:rsidRPr="00262071" w:rsidRDefault="00D7257A" w:rsidP="00306013">
            <w:pPr>
              <w:jc w:val="center"/>
              <w:rPr>
                <w:rFonts w:eastAsia="Arial Unicode MS" w:cs="Arial"/>
                <w:bCs/>
              </w:rPr>
            </w:pPr>
            <w:r>
              <w:rPr>
                <w:rFonts w:eastAsia="Arial Unicode MS" w:cs="Arial"/>
                <w:bCs/>
              </w:rPr>
              <w:t>762</w:t>
            </w:r>
          </w:p>
        </w:tc>
        <w:tc>
          <w:tcPr>
            <w:tcW w:w="1559" w:type="dxa"/>
            <w:tcBorders>
              <w:top w:val="single" w:sz="18" w:space="0" w:color="auto"/>
              <w:bottom w:val="single" w:sz="18" w:space="0" w:color="auto"/>
            </w:tcBorders>
            <w:shd w:val="clear" w:color="auto" w:fill="auto"/>
          </w:tcPr>
          <w:p w:rsidR="00D7257A" w:rsidRDefault="00D7257A" w:rsidP="00306013">
            <w:pPr>
              <w:jc w:val="center"/>
              <w:rPr>
                <w:rFonts w:eastAsia="Arial Unicode MS" w:cs="Arial"/>
                <w:bCs/>
              </w:rPr>
            </w:pPr>
          </w:p>
          <w:p w:rsidR="00D7257A" w:rsidRPr="00262071" w:rsidRDefault="00D7257A" w:rsidP="00306013">
            <w:pPr>
              <w:jc w:val="center"/>
              <w:rPr>
                <w:rFonts w:eastAsia="Arial Unicode MS" w:cs="Arial"/>
                <w:bCs/>
              </w:rPr>
            </w:pPr>
            <w:r>
              <w:rPr>
                <w:rFonts w:eastAsia="Arial Unicode MS" w:cs="Arial"/>
                <w:bCs/>
              </w:rPr>
              <w:t>602</w:t>
            </w:r>
          </w:p>
        </w:tc>
        <w:tc>
          <w:tcPr>
            <w:tcW w:w="1701" w:type="dxa"/>
            <w:tcBorders>
              <w:top w:val="single" w:sz="18" w:space="0" w:color="auto"/>
              <w:bottom w:val="single" w:sz="18" w:space="0" w:color="auto"/>
            </w:tcBorders>
          </w:tcPr>
          <w:p w:rsidR="00D7257A" w:rsidRDefault="00D7257A" w:rsidP="00306013">
            <w:pPr>
              <w:jc w:val="center"/>
              <w:rPr>
                <w:rFonts w:eastAsia="Arial Unicode MS" w:cs="Arial"/>
                <w:bCs/>
              </w:rPr>
            </w:pPr>
          </w:p>
          <w:p w:rsidR="00D7257A" w:rsidRPr="00262071" w:rsidRDefault="00D7257A" w:rsidP="00306013">
            <w:pPr>
              <w:jc w:val="center"/>
              <w:rPr>
                <w:rFonts w:eastAsia="Arial Unicode MS" w:cs="Arial"/>
                <w:bCs/>
              </w:rPr>
            </w:pPr>
            <w:r>
              <w:rPr>
                <w:rFonts w:eastAsia="Arial Unicode MS" w:cs="Arial"/>
                <w:bCs/>
              </w:rPr>
              <w:t>403</w:t>
            </w:r>
          </w:p>
        </w:tc>
        <w:tc>
          <w:tcPr>
            <w:tcW w:w="1701" w:type="dxa"/>
            <w:tcBorders>
              <w:top w:val="single" w:sz="18" w:space="0" w:color="auto"/>
              <w:bottom w:val="single" w:sz="18" w:space="0" w:color="auto"/>
            </w:tcBorders>
          </w:tcPr>
          <w:p w:rsidR="00D7257A" w:rsidRDefault="00D7257A" w:rsidP="00306013">
            <w:pPr>
              <w:jc w:val="center"/>
              <w:rPr>
                <w:rFonts w:eastAsia="Arial Unicode MS" w:cs="Arial"/>
                <w:bCs/>
              </w:rPr>
            </w:pPr>
          </w:p>
          <w:p w:rsidR="00D7257A" w:rsidRPr="00262071" w:rsidRDefault="00D7257A" w:rsidP="00306013">
            <w:pPr>
              <w:jc w:val="center"/>
              <w:rPr>
                <w:rFonts w:eastAsia="Arial Unicode MS" w:cs="Arial"/>
                <w:bCs/>
              </w:rPr>
            </w:pPr>
            <w:r>
              <w:rPr>
                <w:rFonts w:eastAsia="Arial Unicode MS" w:cs="Arial"/>
                <w:bCs/>
              </w:rPr>
              <w:t>199</w:t>
            </w:r>
          </w:p>
        </w:tc>
        <w:tc>
          <w:tcPr>
            <w:tcW w:w="2268" w:type="dxa"/>
            <w:tcBorders>
              <w:top w:val="single" w:sz="18" w:space="0" w:color="auto"/>
              <w:bottom w:val="single" w:sz="18" w:space="0" w:color="auto"/>
            </w:tcBorders>
            <w:shd w:val="clear" w:color="auto" w:fill="auto"/>
          </w:tcPr>
          <w:p w:rsidR="00D7257A" w:rsidRDefault="00D7257A" w:rsidP="00306013">
            <w:pPr>
              <w:jc w:val="center"/>
              <w:rPr>
                <w:rFonts w:eastAsia="Arial Unicode MS" w:cs="Arial"/>
                <w:bCs/>
              </w:rPr>
            </w:pPr>
          </w:p>
          <w:p w:rsidR="00D7257A" w:rsidRPr="00262071" w:rsidRDefault="00D7257A" w:rsidP="00306013">
            <w:pPr>
              <w:jc w:val="center"/>
              <w:rPr>
                <w:rFonts w:eastAsia="Arial Unicode MS" w:cs="Arial"/>
                <w:bCs/>
              </w:rPr>
            </w:pPr>
            <w:r>
              <w:rPr>
                <w:rFonts w:eastAsia="Arial Unicode MS" w:cs="Arial"/>
                <w:bCs/>
              </w:rPr>
              <w:t>16.481.627</w:t>
            </w:r>
          </w:p>
        </w:tc>
      </w:tr>
    </w:tbl>
    <w:p w:rsidR="00D7257A" w:rsidRDefault="00D7257A" w:rsidP="00D7257A">
      <w:pPr>
        <w:pStyle w:val="Titre3"/>
        <w:ind w:left="720" w:hanging="720"/>
        <w:rPr>
          <w:rFonts w:eastAsia="Arial Unicode MS"/>
        </w:rPr>
      </w:pPr>
    </w:p>
    <w:p w:rsidR="00D7257A" w:rsidRPr="000D1FA2" w:rsidRDefault="00D7257A" w:rsidP="00D7257A">
      <w:r>
        <w:rPr>
          <w:rFonts w:cs="Arial"/>
          <w:noProof/>
          <w:lang w:eastAsia="fr-BE"/>
        </w:rPr>
        <w:drawing>
          <wp:inline distT="0" distB="0" distL="0" distR="0" wp14:anchorId="33FAD448" wp14:editId="38AEAC44">
            <wp:extent cx="5759450" cy="1144361"/>
            <wp:effectExtent l="0" t="0" r="0" b="0"/>
            <wp:docPr id="19" name="Graphique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7257A" w:rsidRDefault="00D7257A" w:rsidP="00D7257A">
      <w:pPr>
        <w:pStyle w:val="Titre3"/>
        <w:numPr>
          <w:ilvl w:val="2"/>
          <w:numId w:val="1"/>
        </w:numPr>
        <w:rPr>
          <w:rFonts w:eastAsia="Arial Unicode MS"/>
        </w:rPr>
      </w:pPr>
      <w:bookmarkStart w:id="22" w:name="_Toc518917042"/>
      <w:r>
        <w:rPr>
          <w:rFonts w:eastAsia="Arial" w:cs="Arial"/>
          <w:szCs w:val="20"/>
          <w:bdr w:val="nil"/>
          <w:lang w:val="nl-BE"/>
        </w:rPr>
        <w:lastRenderedPageBreak/>
        <w:t>Kaart van de ontwikkelingszone</w:t>
      </w:r>
      <w:bookmarkEnd w:id="22"/>
    </w:p>
    <w:p w:rsidR="00D7257A" w:rsidRPr="0019242A" w:rsidRDefault="00D7257A" w:rsidP="00D7257A">
      <w:r>
        <w:rPr>
          <w:noProof/>
          <w:lang w:eastAsia="fr-BE"/>
        </w:rPr>
        <w:drawing>
          <wp:inline distT="0" distB="0" distL="0" distR="0" wp14:anchorId="20138BF0" wp14:editId="28EC4ADC">
            <wp:extent cx="5759450" cy="4704308"/>
            <wp:effectExtent l="0" t="0" r="0" b="127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450544" name="Picture 1"/>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759450" cy="4704308"/>
                    </a:xfrm>
                    <a:prstGeom prst="rect">
                      <a:avLst/>
                    </a:prstGeom>
                    <a:noFill/>
                    <a:ln>
                      <a:noFill/>
                    </a:ln>
                  </pic:spPr>
                </pic:pic>
              </a:graphicData>
            </a:graphic>
          </wp:inline>
        </w:drawing>
      </w:r>
    </w:p>
    <w:p w:rsidR="00D7257A" w:rsidRPr="00262071" w:rsidRDefault="00D7257A" w:rsidP="00D7257A">
      <w:pPr>
        <w:pStyle w:val="Titre3"/>
        <w:numPr>
          <w:ilvl w:val="2"/>
          <w:numId w:val="1"/>
        </w:numPr>
        <w:rPr>
          <w:rFonts w:eastAsia="Arial Unicode MS"/>
        </w:rPr>
      </w:pPr>
      <w:bookmarkStart w:id="23" w:name="_Toc518917043"/>
      <w:r>
        <w:rPr>
          <w:rFonts w:eastAsia="Arial" w:cs="Arial"/>
          <w:szCs w:val="20"/>
          <w:bdr w:val="nil"/>
          <w:lang w:val="nl-BE"/>
        </w:rPr>
        <w:t>Wettelijke basissen</w:t>
      </w:r>
      <w:bookmarkEnd w:id="23"/>
    </w:p>
    <w:p w:rsidR="00D7257A" w:rsidRPr="00A22E25" w:rsidRDefault="00D7257A" w:rsidP="00D7257A">
      <w:pPr>
        <w:rPr>
          <w:rFonts w:eastAsia="Arial Unicode MS" w:cs="Arial"/>
          <w:lang w:val="nl-BE"/>
        </w:rPr>
      </w:pPr>
      <w:r>
        <w:rPr>
          <w:rFonts w:eastAsia="Arial" w:cs="Arial"/>
          <w:szCs w:val="20"/>
          <w:bdr w:val="nil"/>
          <w:lang w:val="nl-BE"/>
        </w:rPr>
        <w:t>Organieke ordonnantie van 13 december 2007 betreffende de steun ter bevordering van de economische expansie (BS van 10 januari 2008).</w:t>
      </w:r>
    </w:p>
    <w:p w:rsidR="00D7257A" w:rsidRPr="00A22E25" w:rsidRDefault="00D7257A" w:rsidP="00D7257A">
      <w:pPr>
        <w:rPr>
          <w:rFonts w:eastAsia="Arial Unicode MS" w:cs="Arial"/>
          <w:lang w:val="nl-BE"/>
        </w:rPr>
      </w:pPr>
      <w:r>
        <w:rPr>
          <w:rFonts w:eastAsia="Arial" w:cs="Arial"/>
          <w:szCs w:val="20"/>
          <w:bdr w:val="nil"/>
          <w:lang w:val="nl-BE"/>
        </w:rPr>
        <w:t>Besluit van de Brusselse Hoofdstedelijke Regering van 26 juni 2008 (BS van 14 augustus 2008) betreffende de steun voor algemene investeringen.</w:t>
      </w:r>
    </w:p>
    <w:p w:rsidR="00D7257A" w:rsidRDefault="00D7257A" w:rsidP="00D7257A">
      <w:pPr>
        <w:pStyle w:val="Titre3"/>
        <w:numPr>
          <w:ilvl w:val="2"/>
          <w:numId w:val="1"/>
        </w:numPr>
        <w:rPr>
          <w:rFonts w:eastAsia="Arial Unicode MS"/>
        </w:rPr>
      </w:pPr>
      <w:bookmarkStart w:id="24" w:name="_Toc518917044"/>
      <w:r>
        <w:rPr>
          <w:rFonts w:eastAsia="Arial" w:cs="Arial"/>
          <w:szCs w:val="20"/>
          <w:bdr w:val="nil"/>
          <w:lang w:val="nl-BE"/>
        </w:rPr>
        <w:t>Vaststellingen</w:t>
      </w:r>
      <w:bookmarkEnd w:id="24"/>
    </w:p>
    <w:p w:rsidR="00D7257A" w:rsidRPr="00A22E25" w:rsidRDefault="00D7257A" w:rsidP="00D7257A">
      <w:pPr>
        <w:rPr>
          <w:rFonts w:eastAsia="Arial Unicode MS" w:cs="Arial"/>
          <w:lang w:val="nl-BE"/>
        </w:rPr>
      </w:pPr>
      <w:r>
        <w:rPr>
          <w:rFonts w:eastAsia="Arial" w:cs="Arial"/>
          <w:szCs w:val="20"/>
          <w:bdr w:val="nil"/>
          <w:lang w:val="nl-BE"/>
        </w:rPr>
        <w:t>In 2017 is er over 602 dossiers een beslissing genomen, waarvan er 403 gunstig waren (66,94% van de aanvragen).</w:t>
      </w:r>
    </w:p>
    <w:p w:rsidR="00D7257A" w:rsidRPr="00A22E25" w:rsidRDefault="00D7257A" w:rsidP="00D7257A">
      <w:pPr>
        <w:rPr>
          <w:rFonts w:eastAsia="Arial Unicode MS" w:cs="Arial"/>
          <w:lang w:val="nl-BE"/>
        </w:rPr>
      </w:pPr>
      <w:proofErr w:type="gramStart"/>
      <w:r>
        <w:rPr>
          <w:rFonts w:eastAsia="Arial" w:cs="Arial"/>
          <w:szCs w:val="20"/>
          <w:bdr w:val="nil"/>
          <w:lang w:val="nl-BE"/>
        </w:rPr>
        <w:lastRenderedPageBreak/>
        <w:t xml:space="preserve">Vergeleken met het vorige jaar stellen we een aanzienlijke toename met 15,33% vast van het aantal behandelde dossiers, rechtstreeks gelinkt aan de stijging van het aantal ingediende dossiers (+12,39%). </w:t>
      </w:r>
      <w:proofErr w:type="gramEnd"/>
      <w:r>
        <w:rPr>
          <w:rFonts w:eastAsia="Arial" w:cs="Arial"/>
          <w:szCs w:val="20"/>
          <w:bdr w:val="nil"/>
          <w:lang w:val="nl-BE"/>
        </w:rPr>
        <w:t>Het weigeringscijfer</w:t>
      </w:r>
      <w:r>
        <w:rPr>
          <w:rStyle w:val="Appelnotedebasdep"/>
          <w:rFonts w:eastAsia="Arial Unicode MS" w:cs="Arial"/>
        </w:rPr>
        <w:footnoteReference w:id="1"/>
      </w:r>
      <w:r>
        <w:rPr>
          <w:rFonts w:eastAsia="Arial" w:cs="Arial"/>
          <w:szCs w:val="20"/>
          <w:bdr w:val="nil"/>
          <w:lang w:val="nl-BE"/>
        </w:rPr>
        <w:t xml:space="preserve"> blijft relatief stabiel, en gaat van 36,4% in 2016 naar 33,06% in 2017.</w:t>
      </w:r>
    </w:p>
    <w:p w:rsidR="00D7257A" w:rsidRPr="00A22E25" w:rsidRDefault="00D7257A" w:rsidP="00D7257A">
      <w:pPr>
        <w:pStyle w:val="Titre3"/>
        <w:numPr>
          <w:ilvl w:val="2"/>
          <w:numId w:val="1"/>
        </w:numPr>
        <w:rPr>
          <w:rFonts w:eastAsia="Arial Unicode MS"/>
          <w:lang w:val="nl-BE"/>
        </w:rPr>
      </w:pPr>
      <w:bookmarkStart w:id="25" w:name="_Toc518917045"/>
      <w:r>
        <w:rPr>
          <w:rFonts w:eastAsia="Arial" w:cs="Arial"/>
          <w:szCs w:val="20"/>
          <w:bdr w:val="nil"/>
          <w:lang w:val="nl-BE"/>
        </w:rPr>
        <w:t>Opsplitsing van de dossiers: in / buiten de ontwikkelingszone</w:t>
      </w:r>
      <w:bookmarkEnd w:id="25"/>
    </w:p>
    <w:p w:rsidR="00D7257A" w:rsidRPr="00A22E25" w:rsidRDefault="00D7257A" w:rsidP="00D7257A">
      <w:pPr>
        <w:rPr>
          <w:lang w:val="nl-BE"/>
        </w:rPr>
      </w:pPr>
      <w:r>
        <w:rPr>
          <w:rFonts w:eastAsia="Arial" w:cs="Arial"/>
          <w:szCs w:val="20"/>
          <w:bdr w:val="nil"/>
          <w:lang w:val="nl-BE"/>
        </w:rPr>
        <w:t>De meeste steun voor algemene investeringen werd toegekend aan ondernemingen buiten de ontwikkelingszone.</w:t>
      </w:r>
    </w:p>
    <w:p w:rsidR="00D7257A" w:rsidRPr="002C7F60" w:rsidRDefault="00D7257A" w:rsidP="00D7257A">
      <w:r>
        <w:rPr>
          <w:rFonts w:cs="Arial"/>
          <w:noProof/>
          <w:lang w:eastAsia="fr-BE"/>
        </w:rPr>
        <w:drawing>
          <wp:inline distT="0" distB="0" distL="0" distR="0" wp14:anchorId="0C009724" wp14:editId="0DB302EB">
            <wp:extent cx="5759450" cy="1558971"/>
            <wp:effectExtent l="0" t="0" r="0" b="0"/>
            <wp:docPr id="20" name="Graphique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7257A" w:rsidRPr="00A22E25" w:rsidRDefault="00D7257A" w:rsidP="00D7257A">
      <w:pPr>
        <w:pStyle w:val="Titre3"/>
        <w:numPr>
          <w:ilvl w:val="2"/>
          <w:numId w:val="1"/>
        </w:numPr>
        <w:rPr>
          <w:rFonts w:eastAsia="Arial Unicode MS"/>
          <w:lang w:val="nl-BE"/>
        </w:rPr>
      </w:pPr>
      <w:bookmarkStart w:id="26" w:name="_Toc518917046"/>
      <w:r>
        <w:rPr>
          <w:rFonts w:eastAsia="Arial" w:cs="Arial"/>
          <w:szCs w:val="20"/>
          <w:bdr w:val="nil"/>
          <w:lang w:val="nl-BE"/>
        </w:rPr>
        <w:t>Opsplitsing van de dossiers: starter (oprichting &lt; 4 jaar / niet-starter)</w:t>
      </w:r>
      <w:bookmarkEnd w:id="26"/>
    </w:p>
    <w:p w:rsidR="00D7257A" w:rsidRPr="00A22E25" w:rsidRDefault="00D7257A" w:rsidP="00D7257A">
      <w:pPr>
        <w:rPr>
          <w:lang w:val="nl-BE"/>
        </w:rPr>
      </w:pPr>
      <w:r>
        <w:rPr>
          <w:rFonts w:eastAsia="Arial" w:cs="Arial"/>
          <w:szCs w:val="20"/>
          <w:bdr w:val="nil"/>
          <w:lang w:val="nl-BE"/>
        </w:rPr>
        <w:t>53% van de aanvragen werd ingediend door ondernemingen ouder dan 4 jaar.</w:t>
      </w:r>
    </w:p>
    <w:p w:rsidR="00D7257A" w:rsidRPr="002C7F60" w:rsidRDefault="00D7257A" w:rsidP="00D7257A">
      <w:r>
        <w:rPr>
          <w:rFonts w:cs="Arial"/>
          <w:noProof/>
          <w:lang w:eastAsia="fr-BE"/>
        </w:rPr>
        <w:drawing>
          <wp:inline distT="0" distB="0" distL="0" distR="0" wp14:anchorId="2783A5BF" wp14:editId="007A68F5">
            <wp:extent cx="5759450" cy="1257627"/>
            <wp:effectExtent l="0" t="0" r="0" b="0"/>
            <wp:docPr id="21" name="Graphique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7257A" w:rsidRPr="00A22E25" w:rsidRDefault="00D7257A" w:rsidP="00D7257A">
      <w:pPr>
        <w:pStyle w:val="Titre3"/>
        <w:numPr>
          <w:ilvl w:val="2"/>
          <w:numId w:val="1"/>
        </w:numPr>
        <w:rPr>
          <w:rFonts w:eastAsia="Arial Unicode MS"/>
          <w:lang w:val="nl-BE"/>
        </w:rPr>
      </w:pPr>
      <w:bookmarkStart w:id="27" w:name="_Toc518917047"/>
      <w:r>
        <w:rPr>
          <w:rFonts w:eastAsia="Arial" w:cs="Arial"/>
          <w:szCs w:val="20"/>
          <w:bdr w:val="nil"/>
          <w:lang w:val="nl-BE"/>
        </w:rPr>
        <w:t>Opsplitsing van de dossiers volgens de grootte van de onderneming</w:t>
      </w:r>
      <w:bookmarkEnd w:id="27"/>
    </w:p>
    <w:p w:rsidR="00D7257A" w:rsidRPr="00A22E25" w:rsidRDefault="00D7257A" w:rsidP="00D7257A">
      <w:pPr>
        <w:rPr>
          <w:rFonts w:eastAsia="Arial Unicode MS" w:cs="Arial"/>
          <w:lang w:val="nl-BE"/>
        </w:rPr>
      </w:pPr>
      <w:r>
        <w:rPr>
          <w:rFonts w:eastAsia="Arial" w:cs="Arial"/>
          <w:szCs w:val="20"/>
          <w:bdr w:val="nil"/>
          <w:lang w:val="nl-BE"/>
        </w:rPr>
        <w:t xml:space="preserve">            (definitie van de grootte: zie bijlage)</w:t>
      </w:r>
    </w:p>
    <w:p w:rsidR="00D7257A" w:rsidRPr="00A22E25" w:rsidRDefault="00D7257A" w:rsidP="00D7257A">
      <w:pPr>
        <w:rPr>
          <w:rFonts w:eastAsia="Arial Unicode MS" w:cs="Arial"/>
          <w:lang w:val="nl-BE"/>
        </w:rPr>
      </w:pPr>
      <w:r>
        <w:rPr>
          <w:rFonts w:eastAsia="Arial" w:cs="Arial"/>
          <w:szCs w:val="20"/>
          <w:bdr w:val="nil"/>
          <w:lang w:val="nl-BE"/>
        </w:rPr>
        <w:t>Het zijn voornamelijk micro-ondernemingen die in 2017 een investeringssubsidie gevraagd hebben.</w:t>
      </w:r>
    </w:p>
    <w:p w:rsidR="00D7257A" w:rsidRDefault="00D7257A" w:rsidP="00D7257A">
      <w:pPr>
        <w:rPr>
          <w:rFonts w:eastAsia="Arial Unicode MS" w:cs="Arial"/>
          <w:b/>
          <w:u w:val="single"/>
        </w:rPr>
      </w:pPr>
      <w:r>
        <w:rPr>
          <w:rFonts w:cs="Arial"/>
          <w:noProof/>
          <w:lang w:eastAsia="fr-BE"/>
        </w:rPr>
        <w:drawing>
          <wp:inline distT="0" distB="0" distL="0" distR="0" wp14:anchorId="731926F0" wp14:editId="26F7BE46">
            <wp:extent cx="5759450" cy="1392299"/>
            <wp:effectExtent l="0" t="0" r="0" b="0"/>
            <wp:docPr id="22" name="Graphique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257A" w:rsidRDefault="00D7257A" w:rsidP="00D7257A">
      <w:pPr>
        <w:jc w:val="left"/>
        <w:rPr>
          <w:rFonts w:eastAsia="Arial Unicode MS" w:cstheme="majorBidi"/>
          <w:bCs/>
          <w:color w:val="0A00BE"/>
        </w:rPr>
      </w:pPr>
      <w:r>
        <w:rPr>
          <w:rFonts w:eastAsia="Arial Unicode MS"/>
        </w:rPr>
        <w:br w:type="page"/>
      </w:r>
    </w:p>
    <w:p w:rsidR="00D7257A" w:rsidRPr="00A22E25" w:rsidRDefault="00D7257A" w:rsidP="00D7257A">
      <w:pPr>
        <w:pStyle w:val="Titre3"/>
        <w:numPr>
          <w:ilvl w:val="2"/>
          <w:numId w:val="1"/>
        </w:numPr>
        <w:rPr>
          <w:rFonts w:eastAsia="Arial Unicode MS"/>
          <w:lang w:val="nl-BE"/>
        </w:rPr>
      </w:pPr>
      <w:bookmarkStart w:id="28" w:name="_Toc518917048"/>
      <w:r>
        <w:rPr>
          <w:rFonts w:eastAsia="Arial" w:cs="Arial"/>
          <w:szCs w:val="20"/>
          <w:bdr w:val="nil"/>
          <w:lang w:val="nl-BE"/>
        </w:rPr>
        <w:lastRenderedPageBreak/>
        <w:t>Opsplitsing van de toegekende premies volgens de activiteitensector (NACEBEL)</w:t>
      </w:r>
      <w:bookmarkEnd w:id="28"/>
      <w:r>
        <w:rPr>
          <w:rFonts w:eastAsia="Arial" w:cs="Arial"/>
          <w:szCs w:val="20"/>
          <w:bdr w:val="nil"/>
          <w:lang w:val="nl-BE"/>
        </w:rPr>
        <w:t xml:space="preserve"> </w:t>
      </w:r>
    </w:p>
    <w:p w:rsidR="00D7257A" w:rsidRPr="00A22E25" w:rsidRDefault="00D7257A" w:rsidP="00D7257A">
      <w:pPr>
        <w:rPr>
          <w:rFonts w:eastAsia="Arial Unicode MS" w:cs="Arial"/>
          <w:lang w:val="nl-BE"/>
        </w:rPr>
      </w:pPr>
      <w:r>
        <w:rPr>
          <w:rFonts w:eastAsia="Arial" w:cs="Arial"/>
          <w:szCs w:val="20"/>
          <w:bdr w:val="nil"/>
          <w:lang w:val="nl-BE"/>
        </w:rPr>
        <w:t xml:space="preserve">            (definitie van de activiteitensectoren: zie bijlage)</w:t>
      </w:r>
    </w:p>
    <w:p w:rsidR="00D7257A" w:rsidRPr="00A22E25" w:rsidRDefault="00D7257A" w:rsidP="00D7257A">
      <w:pPr>
        <w:rPr>
          <w:rFonts w:eastAsia="Arial Unicode MS" w:cs="Arial"/>
          <w:lang w:val="nl-BE"/>
        </w:rPr>
      </w:pPr>
      <w:r>
        <w:rPr>
          <w:rFonts w:eastAsia="Arial" w:cs="Arial"/>
          <w:szCs w:val="20"/>
          <w:bdr w:val="nil"/>
          <w:lang w:val="nl-BE"/>
        </w:rPr>
        <w:t>De in 2017 toegekende premies zijn voornamelijk ten goede gekomen aan de handel (27,96%) en de horeca (32,37%).</w:t>
      </w:r>
    </w:p>
    <w:p w:rsidR="00D7257A" w:rsidRPr="00A0171E" w:rsidRDefault="00D7257A" w:rsidP="00D7257A">
      <w:r>
        <w:rPr>
          <w:rFonts w:eastAsia="Arial Unicode MS" w:cs="Arial"/>
          <w:noProof/>
          <w:lang w:eastAsia="fr-BE"/>
        </w:rPr>
        <w:drawing>
          <wp:inline distT="0" distB="0" distL="0" distR="0" wp14:anchorId="094B56D4" wp14:editId="2A4EBCDD">
            <wp:extent cx="5759450" cy="3326415"/>
            <wp:effectExtent l="0" t="0" r="0" b="0"/>
            <wp:docPr id="23" name="Graphique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257A" w:rsidRDefault="00D7257A" w:rsidP="00D7257A">
      <w:pPr>
        <w:jc w:val="left"/>
        <w:rPr>
          <w:rFonts w:eastAsiaTheme="majorEastAsia" w:cstheme="majorBidi"/>
          <w:bCs/>
          <w:color w:val="0A00BE"/>
          <w:sz w:val="26"/>
          <w:szCs w:val="26"/>
        </w:rPr>
      </w:pPr>
      <w:r>
        <w:br w:type="page"/>
      </w:r>
    </w:p>
    <w:p w:rsidR="00D7257A" w:rsidRPr="00107150" w:rsidRDefault="00D7257A" w:rsidP="00D7257A">
      <w:pPr>
        <w:pStyle w:val="Titre2"/>
        <w:numPr>
          <w:ilvl w:val="1"/>
          <w:numId w:val="1"/>
        </w:numPr>
      </w:pPr>
      <w:bookmarkStart w:id="29" w:name="_Toc518917049"/>
      <w:r>
        <w:rPr>
          <w:rFonts w:eastAsia="Arial" w:cs="Arial"/>
          <w:bdr w:val="nil"/>
          <w:lang w:val="nl-BE"/>
        </w:rPr>
        <w:lastRenderedPageBreak/>
        <w:t>Steun voor specifieke investeringen</w:t>
      </w:r>
      <w:bookmarkEnd w:id="29"/>
    </w:p>
    <w:p w:rsidR="00D7257A" w:rsidRDefault="00D7257A" w:rsidP="00D7257A">
      <w:pPr>
        <w:pStyle w:val="Titre3"/>
        <w:numPr>
          <w:ilvl w:val="2"/>
          <w:numId w:val="1"/>
        </w:numPr>
        <w:rPr>
          <w:rFonts w:eastAsia="Arial Unicode MS"/>
        </w:rPr>
      </w:pPr>
      <w:bookmarkStart w:id="30" w:name="_Toc518917050"/>
      <w:r>
        <w:rPr>
          <w:rFonts w:eastAsia="Arial" w:cs="Arial"/>
          <w:szCs w:val="20"/>
          <w:bdr w:val="nil"/>
          <w:lang w:val="nl-BE"/>
        </w:rPr>
        <w:t>Overzicht</w:t>
      </w:r>
      <w:bookmarkEnd w:id="30"/>
    </w:p>
    <w:p w:rsidR="00D7257A" w:rsidRPr="00A22E25" w:rsidRDefault="00D7257A" w:rsidP="00D7257A">
      <w:pPr>
        <w:rPr>
          <w:lang w:val="nl-BE"/>
        </w:rPr>
      </w:pPr>
      <w:r>
        <w:rPr>
          <w:rFonts w:eastAsia="Arial" w:cs="Arial"/>
          <w:szCs w:val="20"/>
          <w:bdr w:val="nil"/>
          <w:lang w:val="nl-BE"/>
        </w:rPr>
        <w:t>Steun voor specifieke investeringen wordt toegekend aan ondernemingen voor elke investering met het oog op:</w:t>
      </w:r>
    </w:p>
    <w:p w:rsidR="00D7257A" w:rsidRDefault="00D7257A" w:rsidP="00D7257A">
      <w:pPr>
        <w:pStyle w:val="Paragraphedeliste"/>
        <w:numPr>
          <w:ilvl w:val="0"/>
          <w:numId w:val="3"/>
        </w:numPr>
      </w:pPr>
      <w:r>
        <w:rPr>
          <w:rFonts w:eastAsia="Arial" w:cs="Arial"/>
          <w:szCs w:val="20"/>
          <w:bdr w:val="nil"/>
          <w:lang w:val="nl-BE"/>
        </w:rPr>
        <w:t>bescherming van het leefmilieu;</w:t>
      </w:r>
    </w:p>
    <w:p w:rsidR="00D7257A" w:rsidRDefault="00D7257A" w:rsidP="00D7257A">
      <w:pPr>
        <w:pStyle w:val="Paragraphedeliste"/>
        <w:numPr>
          <w:ilvl w:val="0"/>
          <w:numId w:val="3"/>
        </w:numPr>
      </w:pPr>
      <w:r>
        <w:rPr>
          <w:rFonts w:eastAsia="Arial" w:cs="Arial"/>
          <w:szCs w:val="20"/>
          <w:bdr w:val="nil"/>
          <w:lang w:val="nl-BE"/>
        </w:rPr>
        <w:t>stedelijke integratie;</w:t>
      </w:r>
    </w:p>
    <w:p w:rsidR="00D7257A" w:rsidRDefault="00D7257A" w:rsidP="00D7257A">
      <w:pPr>
        <w:pStyle w:val="Paragraphedeliste"/>
        <w:numPr>
          <w:ilvl w:val="0"/>
          <w:numId w:val="3"/>
        </w:numPr>
      </w:pPr>
      <w:proofErr w:type="spellStart"/>
      <w:r>
        <w:rPr>
          <w:rFonts w:eastAsia="Arial" w:cs="Arial"/>
          <w:szCs w:val="20"/>
          <w:bdr w:val="nil"/>
          <w:lang w:val="nl-BE"/>
        </w:rPr>
        <w:t>eco</w:t>
      </w:r>
      <w:proofErr w:type="spellEnd"/>
      <w:r>
        <w:rPr>
          <w:rFonts w:eastAsia="Arial" w:cs="Arial"/>
          <w:szCs w:val="20"/>
          <w:bdr w:val="nil"/>
          <w:lang w:val="nl-BE"/>
        </w:rPr>
        <w:t>-producten;</w:t>
      </w:r>
    </w:p>
    <w:p w:rsidR="00D7257A" w:rsidRPr="00A22E25" w:rsidRDefault="00D7257A" w:rsidP="00D7257A">
      <w:pPr>
        <w:pStyle w:val="Paragraphedeliste"/>
        <w:numPr>
          <w:ilvl w:val="0"/>
          <w:numId w:val="3"/>
        </w:numPr>
        <w:rPr>
          <w:lang w:val="nl-BE"/>
        </w:rPr>
      </w:pPr>
      <w:r>
        <w:rPr>
          <w:rFonts w:eastAsia="Arial" w:cs="Arial"/>
          <w:szCs w:val="20"/>
          <w:bdr w:val="nil"/>
          <w:lang w:val="nl-BE"/>
        </w:rPr>
        <w:t>energiebesparing en -productie op basis van hernieuwbare bronnen;</w:t>
      </w:r>
    </w:p>
    <w:p w:rsidR="00D7257A" w:rsidRPr="00A22E25" w:rsidRDefault="00D7257A" w:rsidP="00D7257A">
      <w:pPr>
        <w:pStyle w:val="Paragraphedeliste"/>
        <w:numPr>
          <w:ilvl w:val="0"/>
          <w:numId w:val="3"/>
        </w:numPr>
        <w:rPr>
          <w:lang w:val="nl-BE"/>
        </w:rPr>
      </w:pPr>
      <w:r>
        <w:rPr>
          <w:rFonts w:eastAsia="Arial" w:cs="Arial"/>
          <w:szCs w:val="20"/>
          <w:bdr w:val="nil"/>
          <w:lang w:val="nl-BE"/>
        </w:rPr>
        <w:t>conformering aan de Europese normen die betrekking hebben op andere materies dan leefmilieu.</w:t>
      </w:r>
    </w:p>
    <w:tbl>
      <w:tblPr>
        <w:tblW w:w="10065" w:type="dxa"/>
        <w:tblInd w:w="-356"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120"/>
        <w:gridCol w:w="1275"/>
        <w:gridCol w:w="1134"/>
        <w:gridCol w:w="1418"/>
        <w:gridCol w:w="1417"/>
        <w:gridCol w:w="1701"/>
      </w:tblGrid>
      <w:tr w:rsidR="00D7257A" w:rsidRPr="00A22E25" w:rsidTr="0065334C">
        <w:tc>
          <w:tcPr>
            <w:tcW w:w="3120" w:type="dxa"/>
            <w:tcBorders>
              <w:bottom w:val="single" w:sz="18" w:space="0" w:color="auto"/>
            </w:tcBorders>
          </w:tcPr>
          <w:p w:rsidR="00D7257A" w:rsidRPr="00262071" w:rsidRDefault="00D7257A" w:rsidP="00306013">
            <w:pPr>
              <w:ind w:left="57"/>
              <w:rPr>
                <w:rFonts w:eastAsia="Arial Unicode MS" w:cs="Arial"/>
                <w:bCs/>
              </w:rPr>
            </w:pPr>
            <w:r>
              <w:rPr>
                <w:rFonts w:eastAsia="Arial" w:cs="Arial"/>
                <w:bCs/>
                <w:szCs w:val="20"/>
                <w:bdr w:val="nil"/>
                <w:lang w:val="nl-BE"/>
              </w:rPr>
              <w:t>Type dossiers</w:t>
            </w:r>
          </w:p>
        </w:tc>
        <w:tc>
          <w:tcPr>
            <w:tcW w:w="1275" w:type="dxa"/>
            <w:tcBorders>
              <w:bottom w:val="single" w:sz="18" w:space="0" w:color="auto"/>
            </w:tcBorders>
            <w:shd w:val="clear" w:color="auto" w:fill="auto"/>
          </w:tcPr>
          <w:p w:rsidR="00D7257A" w:rsidRPr="00262071" w:rsidRDefault="00D7257A" w:rsidP="00306013">
            <w:pPr>
              <w:ind w:left="57"/>
              <w:jc w:val="center"/>
              <w:rPr>
                <w:rFonts w:eastAsia="Arial Unicode MS" w:cs="Arial"/>
                <w:bCs/>
              </w:rPr>
            </w:pPr>
            <w:r>
              <w:rPr>
                <w:rFonts w:eastAsia="Arial" w:cs="Arial"/>
                <w:bCs/>
                <w:szCs w:val="20"/>
                <w:bdr w:val="nil"/>
                <w:lang w:val="nl-BE"/>
              </w:rPr>
              <w:t xml:space="preserve">Aantal ingediende dossiers </w:t>
            </w:r>
          </w:p>
        </w:tc>
        <w:tc>
          <w:tcPr>
            <w:tcW w:w="1134" w:type="dxa"/>
            <w:tcBorders>
              <w:bottom w:val="single" w:sz="18" w:space="0" w:color="auto"/>
            </w:tcBorders>
            <w:shd w:val="clear" w:color="auto" w:fill="auto"/>
          </w:tcPr>
          <w:p w:rsidR="00D7257A" w:rsidRPr="00A22E25" w:rsidRDefault="00D7257A" w:rsidP="00306013">
            <w:pPr>
              <w:ind w:left="57"/>
              <w:jc w:val="center"/>
              <w:rPr>
                <w:rFonts w:eastAsia="Arial Unicode MS" w:cs="Arial"/>
                <w:bCs/>
                <w:lang w:val="nl-BE"/>
              </w:rPr>
            </w:pPr>
            <w:r>
              <w:rPr>
                <w:rFonts w:eastAsia="Arial" w:cs="Arial"/>
                <w:bCs/>
                <w:szCs w:val="20"/>
                <w:bdr w:val="nil"/>
                <w:lang w:val="nl-BE"/>
              </w:rPr>
              <w:t>Totaal aantal dossiers met een beslissing</w:t>
            </w:r>
          </w:p>
        </w:tc>
        <w:tc>
          <w:tcPr>
            <w:tcW w:w="1418" w:type="dxa"/>
            <w:tcBorders>
              <w:bottom w:val="single" w:sz="18" w:space="0" w:color="auto"/>
            </w:tcBorders>
          </w:tcPr>
          <w:p w:rsidR="00D7257A" w:rsidRPr="00262071" w:rsidRDefault="00D7257A" w:rsidP="00306013">
            <w:pPr>
              <w:ind w:left="57"/>
              <w:jc w:val="center"/>
              <w:rPr>
                <w:rFonts w:eastAsia="Arial Unicode MS" w:cs="Arial"/>
                <w:bCs/>
              </w:rPr>
            </w:pPr>
            <w:r>
              <w:rPr>
                <w:rFonts w:eastAsia="Arial" w:cs="Arial"/>
                <w:bCs/>
                <w:szCs w:val="20"/>
                <w:bdr w:val="nil"/>
                <w:lang w:val="nl-BE"/>
              </w:rPr>
              <w:t>Beslissingen tot toekenning</w:t>
            </w:r>
          </w:p>
        </w:tc>
        <w:tc>
          <w:tcPr>
            <w:tcW w:w="1417" w:type="dxa"/>
            <w:tcBorders>
              <w:bottom w:val="single" w:sz="18" w:space="0" w:color="auto"/>
            </w:tcBorders>
          </w:tcPr>
          <w:p w:rsidR="00D7257A" w:rsidRPr="00262071" w:rsidRDefault="00D7257A" w:rsidP="00306013">
            <w:pPr>
              <w:ind w:left="57"/>
              <w:jc w:val="center"/>
              <w:rPr>
                <w:rFonts w:eastAsia="Arial Unicode MS" w:cs="Arial"/>
                <w:bCs/>
              </w:rPr>
            </w:pPr>
            <w:r>
              <w:rPr>
                <w:rFonts w:eastAsia="Arial" w:cs="Arial"/>
                <w:bCs/>
                <w:szCs w:val="20"/>
                <w:bdr w:val="nil"/>
                <w:lang w:val="nl-BE"/>
              </w:rPr>
              <w:t>Beslissingen tot weigering</w:t>
            </w:r>
          </w:p>
        </w:tc>
        <w:tc>
          <w:tcPr>
            <w:tcW w:w="1701" w:type="dxa"/>
            <w:tcBorders>
              <w:bottom w:val="single" w:sz="18" w:space="0" w:color="auto"/>
            </w:tcBorders>
            <w:shd w:val="clear" w:color="auto" w:fill="auto"/>
          </w:tcPr>
          <w:p w:rsidR="00D7257A" w:rsidRPr="00A22E25" w:rsidRDefault="00D7257A" w:rsidP="00306013">
            <w:pPr>
              <w:ind w:left="57"/>
              <w:jc w:val="center"/>
              <w:rPr>
                <w:rFonts w:eastAsia="Arial Unicode MS" w:cs="Arial"/>
                <w:bCs/>
                <w:lang w:val="nl-BE"/>
              </w:rPr>
            </w:pPr>
            <w:r>
              <w:rPr>
                <w:rFonts w:eastAsia="Arial" w:cs="Arial"/>
                <w:bCs/>
                <w:szCs w:val="20"/>
                <w:bdr w:val="nil"/>
                <w:lang w:val="nl-BE"/>
              </w:rPr>
              <w:t>Bedrag van de premies in €</w:t>
            </w:r>
          </w:p>
        </w:tc>
      </w:tr>
      <w:tr w:rsidR="00D7257A" w:rsidTr="0065334C">
        <w:tc>
          <w:tcPr>
            <w:tcW w:w="3120" w:type="dxa"/>
            <w:tcBorders>
              <w:top w:val="dotted" w:sz="4" w:space="0" w:color="auto"/>
              <w:bottom w:val="dotted" w:sz="4" w:space="0" w:color="auto"/>
            </w:tcBorders>
          </w:tcPr>
          <w:p w:rsidR="00D7257A" w:rsidRPr="00262071" w:rsidRDefault="00D7257A" w:rsidP="00306013">
            <w:pPr>
              <w:jc w:val="left"/>
              <w:rPr>
                <w:rFonts w:eastAsia="Arial Unicode MS" w:cs="Arial"/>
              </w:rPr>
            </w:pPr>
            <w:r>
              <w:rPr>
                <w:rFonts w:eastAsia="Arial" w:cs="Arial"/>
                <w:szCs w:val="20"/>
                <w:bdr w:val="nil"/>
                <w:lang w:val="nl-BE"/>
              </w:rPr>
              <w:t>Milieubescherming</w:t>
            </w:r>
          </w:p>
        </w:tc>
        <w:tc>
          <w:tcPr>
            <w:tcW w:w="1275" w:type="dxa"/>
            <w:tcBorders>
              <w:top w:val="dotted" w:sz="4" w:space="0" w:color="auto"/>
              <w:bottom w:val="dotted" w:sz="4" w:space="0" w:color="auto"/>
            </w:tcBorders>
            <w:shd w:val="clear" w:color="auto" w:fill="auto"/>
          </w:tcPr>
          <w:p w:rsidR="00D7257A" w:rsidRPr="00262071" w:rsidRDefault="00D7257A" w:rsidP="00306013">
            <w:pPr>
              <w:jc w:val="center"/>
              <w:rPr>
                <w:rFonts w:eastAsia="Arial Unicode MS" w:cs="Arial"/>
              </w:rPr>
            </w:pPr>
            <w:r>
              <w:rPr>
                <w:rFonts w:eastAsia="Arial Unicode MS" w:cs="Arial"/>
              </w:rPr>
              <w:t>42</w:t>
            </w:r>
          </w:p>
        </w:tc>
        <w:tc>
          <w:tcPr>
            <w:tcW w:w="1134" w:type="dxa"/>
            <w:tcBorders>
              <w:top w:val="dotted" w:sz="4" w:space="0" w:color="auto"/>
              <w:bottom w:val="dotted" w:sz="4" w:space="0" w:color="auto"/>
            </w:tcBorders>
            <w:shd w:val="clear" w:color="auto" w:fill="auto"/>
          </w:tcPr>
          <w:p w:rsidR="00D7257A" w:rsidRPr="00262071" w:rsidRDefault="00D7257A" w:rsidP="00306013">
            <w:pPr>
              <w:jc w:val="center"/>
              <w:rPr>
                <w:rFonts w:eastAsia="Arial Unicode MS" w:cs="Arial"/>
              </w:rPr>
            </w:pPr>
            <w:r>
              <w:rPr>
                <w:rFonts w:eastAsia="Arial Unicode MS" w:cs="Arial"/>
              </w:rPr>
              <w:t>36</w:t>
            </w:r>
          </w:p>
        </w:tc>
        <w:tc>
          <w:tcPr>
            <w:tcW w:w="1418" w:type="dxa"/>
            <w:tcBorders>
              <w:top w:val="dotted" w:sz="4" w:space="0" w:color="auto"/>
              <w:bottom w:val="dotted" w:sz="4" w:space="0" w:color="auto"/>
            </w:tcBorders>
          </w:tcPr>
          <w:p w:rsidR="00D7257A" w:rsidRPr="00262071" w:rsidRDefault="00D7257A" w:rsidP="00306013">
            <w:pPr>
              <w:jc w:val="center"/>
              <w:rPr>
                <w:rFonts w:eastAsia="Arial Unicode MS" w:cs="Arial"/>
              </w:rPr>
            </w:pPr>
            <w:r>
              <w:rPr>
                <w:rFonts w:eastAsia="Arial Unicode MS" w:cs="Arial"/>
              </w:rPr>
              <w:t>25</w:t>
            </w:r>
          </w:p>
        </w:tc>
        <w:tc>
          <w:tcPr>
            <w:tcW w:w="1417" w:type="dxa"/>
            <w:tcBorders>
              <w:top w:val="dotted" w:sz="4" w:space="0" w:color="auto"/>
              <w:bottom w:val="dotted" w:sz="4" w:space="0" w:color="auto"/>
            </w:tcBorders>
          </w:tcPr>
          <w:p w:rsidR="00D7257A" w:rsidRPr="00262071" w:rsidRDefault="00D7257A" w:rsidP="00306013">
            <w:pPr>
              <w:jc w:val="center"/>
              <w:rPr>
                <w:rFonts w:eastAsia="Arial Unicode MS" w:cs="Arial"/>
              </w:rPr>
            </w:pPr>
            <w:r>
              <w:rPr>
                <w:rFonts w:eastAsia="Arial Unicode MS" w:cs="Arial"/>
              </w:rPr>
              <w:t>11</w:t>
            </w:r>
          </w:p>
        </w:tc>
        <w:tc>
          <w:tcPr>
            <w:tcW w:w="1701" w:type="dxa"/>
            <w:tcBorders>
              <w:top w:val="dotted" w:sz="4" w:space="0" w:color="auto"/>
              <w:bottom w:val="dotted" w:sz="4" w:space="0" w:color="auto"/>
            </w:tcBorders>
            <w:shd w:val="clear" w:color="auto" w:fill="auto"/>
          </w:tcPr>
          <w:p w:rsidR="00D7257A" w:rsidRPr="00262071" w:rsidRDefault="00D7257A" w:rsidP="00306013">
            <w:pPr>
              <w:jc w:val="right"/>
              <w:rPr>
                <w:rFonts w:eastAsia="Arial Unicode MS" w:cs="Arial"/>
              </w:rPr>
            </w:pPr>
            <w:r>
              <w:rPr>
                <w:rFonts w:eastAsia="Arial Unicode MS" w:cs="Arial"/>
              </w:rPr>
              <w:t>339.659</w:t>
            </w:r>
          </w:p>
        </w:tc>
      </w:tr>
      <w:tr w:rsidR="00D7257A" w:rsidTr="0065334C">
        <w:tc>
          <w:tcPr>
            <w:tcW w:w="3120" w:type="dxa"/>
            <w:tcBorders>
              <w:top w:val="dotted" w:sz="4" w:space="0" w:color="auto"/>
              <w:bottom w:val="dotted" w:sz="4" w:space="0" w:color="auto"/>
            </w:tcBorders>
          </w:tcPr>
          <w:p w:rsidR="00D7257A" w:rsidRPr="00262071" w:rsidRDefault="00D7257A" w:rsidP="00306013">
            <w:pPr>
              <w:jc w:val="left"/>
              <w:rPr>
                <w:rFonts w:eastAsia="Arial Unicode MS" w:cs="Arial"/>
              </w:rPr>
            </w:pPr>
            <w:r>
              <w:rPr>
                <w:rFonts w:eastAsia="Arial" w:cs="Arial"/>
                <w:szCs w:val="20"/>
                <w:bdr w:val="nil"/>
                <w:lang w:val="nl-BE"/>
              </w:rPr>
              <w:t>Stedelijke integratie</w:t>
            </w:r>
          </w:p>
        </w:tc>
        <w:tc>
          <w:tcPr>
            <w:tcW w:w="1275" w:type="dxa"/>
            <w:tcBorders>
              <w:top w:val="dotted" w:sz="4" w:space="0" w:color="auto"/>
              <w:bottom w:val="dotted" w:sz="4" w:space="0" w:color="auto"/>
            </w:tcBorders>
            <w:shd w:val="clear" w:color="auto" w:fill="auto"/>
          </w:tcPr>
          <w:p w:rsidR="00D7257A" w:rsidRPr="00262071" w:rsidRDefault="00D7257A" w:rsidP="00306013">
            <w:pPr>
              <w:jc w:val="center"/>
              <w:rPr>
                <w:rFonts w:eastAsia="Arial Unicode MS" w:cs="Arial"/>
              </w:rPr>
            </w:pPr>
            <w:r>
              <w:rPr>
                <w:rFonts w:eastAsia="Arial Unicode MS" w:cs="Arial"/>
              </w:rPr>
              <w:t>149</w:t>
            </w:r>
          </w:p>
        </w:tc>
        <w:tc>
          <w:tcPr>
            <w:tcW w:w="1134" w:type="dxa"/>
            <w:tcBorders>
              <w:top w:val="dotted" w:sz="4" w:space="0" w:color="auto"/>
              <w:bottom w:val="dotted" w:sz="4" w:space="0" w:color="auto"/>
            </w:tcBorders>
            <w:shd w:val="clear" w:color="auto" w:fill="auto"/>
          </w:tcPr>
          <w:p w:rsidR="00D7257A" w:rsidRPr="00262071" w:rsidRDefault="00D7257A" w:rsidP="00306013">
            <w:pPr>
              <w:jc w:val="center"/>
              <w:rPr>
                <w:rFonts w:eastAsia="Arial Unicode MS" w:cs="Arial"/>
              </w:rPr>
            </w:pPr>
            <w:r>
              <w:rPr>
                <w:rFonts w:eastAsia="Arial Unicode MS" w:cs="Arial"/>
              </w:rPr>
              <w:t>114</w:t>
            </w:r>
          </w:p>
        </w:tc>
        <w:tc>
          <w:tcPr>
            <w:tcW w:w="1418" w:type="dxa"/>
            <w:tcBorders>
              <w:top w:val="dotted" w:sz="4" w:space="0" w:color="auto"/>
              <w:bottom w:val="dotted" w:sz="4" w:space="0" w:color="auto"/>
            </w:tcBorders>
          </w:tcPr>
          <w:p w:rsidR="00D7257A" w:rsidRPr="00262071" w:rsidRDefault="00D7257A" w:rsidP="00306013">
            <w:pPr>
              <w:jc w:val="center"/>
              <w:rPr>
                <w:rFonts w:eastAsia="Arial Unicode MS" w:cs="Arial"/>
              </w:rPr>
            </w:pPr>
            <w:r>
              <w:rPr>
                <w:rFonts w:eastAsia="Arial Unicode MS" w:cs="Arial"/>
              </w:rPr>
              <w:t>61</w:t>
            </w:r>
          </w:p>
        </w:tc>
        <w:tc>
          <w:tcPr>
            <w:tcW w:w="1417" w:type="dxa"/>
            <w:tcBorders>
              <w:top w:val="dotted" w:sz="4" w:space="0" w:color="auto"/>
              <w:bottom w:val="dotted" w:sz="4" w:space="0" w:color="auto"/>
            </w:tcBorders>
          </w:tcPr>
          <w:p w:rsidR="00D7257A" w:rsidRPr="00262071" w:rsidRDefault="00D7257A" w:rsidP="00306013">
            <w:pPr>
              <w:jc w:val="center"/>
              <w:rPr>
                <w:rFonts w:eastAsia="Arial Unicode MS" w:cs="Arial"/>
              </w:rPr>
            </w:pPr>
            <w:r>
              <w:rPr>
                <w:rFonts w:eastAsia="Arial Unicode MS" w:cs="Arial"/>
              </w:rPr>
              <w:t>53</w:t>
            </w:r>
          </w:p>
        </w:tc>
        <w:tc>
          <w:tcPr>
            <w:tcW w:w="1701" w:type="dxa"/>
            <w:tcBorders>
              <w:top w:val="dotted" w:sz="4" w:space="0" w:color="auto"/>
              <w:bottom w:val="dotted" w:sz="4" w:space="0" w:color="auto"/>
            </w:tcBorders>
            <w:shd w:val="clear" w:color="auto" w:fill="auto"/>
          </w:tcPr>
          <w:p w:rsidR="00D7257A" w:rsidRPr="00262071" w:rsidRDefault="00D7257A" w:rsidP="00306013">
            <w:pPr>
              <w:jc w:val="right"/>
              <w:rPr>
                <w:rFonts w:eastAsia="Arial Unicode MS" w:cs="Arial"/>
              </w:rPr>
            </w:pPr>
            <w:r>
              <w:rPr>
                <w:rFonts w:eastAsia="Arial Unicode MS" w:cs="Arial"/>
              </w:rPr>
              <w:t>356.787</w:t>
            </w:r>
          </w:p>
        </w:tc>
      </w:tr>
      <w:tr w:rsidR="00D7257A" w:rsidTr="0065334C">
        <w:tc>
          <w:tcPr>
            <w:tcW w:w="3120" w:type="dxa"/>
            <w:tcBorders>
              <w:top w:val="dotted" w:sz="4" w:space="0" w:color="auto"/>
              <w:bottom w:val="dotted" w:sz="4" w:space="0" w:color="auto"/>
            </w:tcBorders>
          </w:tcPr>
          <w:p w:rsidR="00D7257A" w:rsidRPr="00262071" w:rsidRDefault="00D7257A" w:rsidP="00306013">
            <w:pPr>
              <w:jc w:val="left"/>
              <w:rPr>
                <w:rFonts w:eastAsia="Arial Unicode MS" w:cs="Arial"/>
              </w:rPr>
            </w:pPr>
            <w:proofErr w:type="spellStart"/>
            <w:r>
              <w:rPr>
                <w:rFonts w:eastAsia="Arial" w:cs="Arial"/>
                <w:szCs w:val="20"/>
                <w:bdr w:val="nil"/>
                <w:lang w:val="nl-BE"/>
              </w:rPr>
              <w:t>Eco</w:t>
            </w:r>
            <w:proofErr w:type="spellEnd"/>
            <w:r>
              <w:rPr>
                <w:rFonts w:eastAsia="Arial" w:cs="Arial"/>
                <w:szCs w:val="20"/>
                <w:bdr w:val="nil"/>
                <w:lang w:val="nl-BE"/>
              </w:rPr>
              <w:t>-producten</w:t>
            </w:r>
          </w:p>
        </w:tc>
        <w:tc>
          <w:tcPr>
            <w:tcW w:w="1275" w:type="dxa"/>
            <w:tcBorders>
              <w:top w:val="dotted" w:sz="4" w:space="0" w:color="auto"/>
              <w:bottom w:val="dotted" w:sz="4" w:space="0" w:color="auto"/>
            </w:tcBorders>
            <w:shd w:val="clear" w:color="auto" w:fill="auto"/>
          </w:tcPr>
          <w:p w:rsidR="00D7257A" w:rsidRDefault="00D7257A" w:rsidP="00306013">
            <w:pPr>
              <w:jc w:val="center"/>
              <w:rPr>
                <w:rFonts w:eastAsia="Arial Unicode MS" w:cs="Arial"/>
              </w:rPr>
            </w:pPr>
            <w:r>
              <w:rPr>
                <w:rFonts w:eastAsia="Arial Unicode MS" w:cs="Arial"/>
              </w:rPr>
              <w:t>2</w:t>
            </w:r>
          </w:p>
        </w:tc>
        <w:tc>
          <w:tcPr>
            <w:tcW w:w="1134" w:type="dxa"/>
            <w:tcBorders>
              <w:top w:val="dotted" w:sz="4" w:space="0" w:color="auto"/>
              <w:bottom w:val="dotted" w:sz="4" w:space="0" w:color="auto"/>
            </w:tcBorders>
            <w:shd w:val="clear" w:color="auto" w:fill="auto"/>
          </w:tcPr>
          <w:p w:rsidR="00D7257A" w:rsidRDefault="00D7257A" w:rsidP="00306013">
            <w:pPr>
              <w:jc w:val="center"/>
              <w:rPr>
                <w:rFonts w:eastAsia="Arial Unicode MS" w:cs="Arial"/>
              </w:rPr>
            </w:pPr>
            <w:r>
              <w:rPr>
                <w:rFonts w:eastAsia="Arial Unicode MS" w:cs="Arial"/>
              </w:rPr>
              <w:t>1</w:t>
            </w:r>
          </w:p>
        </w:tc>
        <w:tc>
          <w:tcPr>
            <w:tcW w:w="1418" w:type="dxa"/>
            <w:tcBorders>
              <w:top w:val="dotted" w:sz="4" w:space="0" w:color="auto"/>
              <w:bottom w:val="dotted" w:sz="4" w:space="0" w:color="auto"/>
            </w:tcBorders>
          </w:tcPr>
          <w:p w:rsidR="00D7257A" w:rsidRDefault="00D7257A" w:rsidP="00306013">
            <w:pPr>
              <w:jc w:val="center"/>
              <w:rPr>
                <w:rFonts w:eastAsia="Arial Unicode MS" w:cs="Arial"/>
              </w:rPr>
            </w:pPr>
            <w:r>
              <w:rPr>
                <w:rFonts w:eastAsia="Arial Unicode MS" w:cs="Arial"/>
              </w:rPr>
              <w:t>1</w:t>
            </w:r>
          </w:p>
        </w:tc>
        <w:tc>
          <w:tcPr>
            <w:tcW w:w="1417" w:type="dxa"/>
            <w:tcBorders>
              <w:top w:val="dotted" w:sz="4" w:space="0" w:color="auto"/>
              <w:bottom w:val="dotted" w:sz="4" w:space="0" w:color="auto"/>
            </w:tcBorders>
          </w:tcPr>
          <w:p w:rsidR="00D7257A" w:rsidRDefault="00D7257A" w:rsidP="00306013">
            <w:pPr>
              <w:jc w:val="center"/>
              <w:rPr>
                <w:rFonts w:eastAsia="Arial Unicode MS" w:cs="Arial"/>
              </w:rPr>
            </w:pPr>
            <w:r>
              <w:rPr>
                <w:rFonts w:eastAsia="Arial Unicode MS" w:cs="Arial"/>
              </w:rPr>
              <w:t>1</w:t>
            </w:r>
          </w:p>
        </w:tc>
        <w:tc>
          <w:tcPr>
            <w:tcW w:w="1701" w:type="dxa"/>
            <w:tcBorders>
              <w:top w:val="dotted" w:sz="4" w:space="0" w:color="auto"/>
              <w:bottom w:val="dotted" w:sz="4" w:space="0" w:color="auto"/>
            </w:tcBorders>
            <w:shd w:val="clear" w:color="auto" w:fill="auto"/>
          </w:tcPr>
          <w:p w:rsidR="00D7257A" w:rsidRDefault="00D7257A" w:rsidP="00306013">
            <w:pPr>
              <w:jc w:val="right"/>
              <w:rPr>
                <w:rFonts w:eastAsia="Arial Unicode MS" w:cs="Arial"/>
              </w:rPr>
            </w:pPr>
            <w:r>
              <w:rPr>
                <w:rFonts w:eastAsia="Arial Unicode MS" w:cs="Arial"/>
              </w:rPr>
              <w:t>7.466</w:t>
            </w:r>
          </w:p>
        </w:tc>
      </w:tr>
      <w:tr w:rsidR="00D7257A" w:rsidTr="0065334C">
        <w:trPr>
          <w:trHeight w:val="1039"/>
        </w:trPr>
        <w:tc>
          <w:tcPr>
            <w:tcW w:w="3120" w:type="dxa"/>
            <w:tcBorders>
              <w:top w:val="dotted" w:sz="4" w:space="0" w:color="auto"/>
              <w:bottom w:val="dotted" w:sz="4" w:space="0" w:color="auto"/>
            </w:tcBorders>
          </w:tcPr>
          <w:p w:rsidR="00D7257A" w:rsidRPr="00A22E25" w:rsidRDefault="00D7257A" w:rsidP="00306013">
            <w:pPr>
              <w:jc w:val="left"/>
              <w:rPr>
                <w:rFonts w:eastAsia="Arial Unicode MS" w:cs="Arial"/>
                <w:lang w:val="nl-BE"/>
              </w:rPr>
            </w:pPr>
            <w:r>
              <w:rPr>
                <w:rFonts w:eastAsia="Arial" w:cs="Arial"/>
                <w:szCs w:val="20"/>
                <w:bdr w:val="nil"/>
                <w:lang w:val="nl-BE"/>
              </w:rPr>
              <w:t>Energiebesparingen en productie van energie met behulp van hernieuwbare energiebronnen</w:t>
            </w:r>
          </w:p>
        </w:tc>
        <w:tc>
          <w:tcPr>
            <w:tcW w:w="1275" w:type="dxa"/>
            <w:tcBorders>
              <w:top w:val="dotted" w:sz="4" w:space="0" w:color="auto"/>
              <w:bottom w:val="dotted" w:sz="4" w:space="0" w:color="auto"/>
            </w:tcBorders>
            <w:shd w:val="clear" w:color="auto" w:fill="auto"/>
          </w:tcPr>
          <w:p w:rsidR="00D7257A" w:rsidRPr="00262071" w:rsidRDefault="00D7257A" w:rsidP="00306013">
            <w:pPr>
              <w:jc w:val="center"/>
              <w:rPr>
                <w:rFonts w:eastAsia="Arial Unicode MS" w:cs="Arial"/>
              </w:rPr>
            </w:pPr>
            <w:r>
              <w:rPr>
                <w:rFonts w:eastAsia="Arial Unicode MS" w:cs="Arial"/>
              </w:rPr>
              <w:t>396</w:t>
            </w:r>
          </w:p>
        </w:tc>
        <w:tc>
          <w:tcPr>
            <w:tcW w:w="1134" w:type="dxa"/>
            <w:tcBorders>
              <w:top w:val="dotted" w:sz="4" w:space="0" w:color="auto"/>
              <w:bottom w:val="dotted" w:sz="4" w:space="0" w:color="auto"/>
            </w:tcBorders>
            <w:shd w:val="clear" w:color="auto" w:fill="auto"/>
          </w:tcPr>
          <w:p w:rsidR="00D7257A" w:rsidRPr="00262071" w:rsidRDefault="00D7257A" w:rsidP="00306013">
            <w:pPr>
              <w:jc w:val="center"/>
              <w:rPr>
                <w:rFonts w:eastAsia="Arial Unicode MS" w:cs="Arial"/>
              </w:rPr>
            </w:pPr>
            <w:r>
              <w:rPr>
                <w:rFonts w:eastAsia="Arial Unicode MS" w:cs="Arial"/>
              </w:rPr>
              <w:t>324</w:t>
            </w:r>
          </w:p>
        </w:tc>
        <w:tc>
          <w:tcPr>
            <w:tcW w:w="1418" w:type="dxa"/>
            <w:tcBorders>
              <w:top w:val="dotted" w:sz="4" w:space="0" w:color="auto"/>
              <w:bottom w:val="dotted" w:sz="4" w:space="0" w:color="auto"/>
            </w:tcBorders>
          </w:tcPr>
          <w:p w:rsidR="00D7257A" w:rsidRPr="00262071" w:rsidRDefault="00D7257A" w:rsidP="00306013">
            <w:pPr>
              <w:jc w:val="center"/>
              <w:rPr>
                <w:rFonts w:eastAsia="Arial Unicode MS" w:cs="Arial"/>
              </w:rPr>
            </w:pPr>
            <w:r>
              <w:rPr>
                <w:rFonts w:eastAsia="Arial Unicode MS" w:cs="Arial"/>
              </w:rPr>
              <w:t>165</w:t>
            </w:r>
          </w:p>
        </w:tc>
        <w:tc>
          <w:tcPr>
            <w:tcW w:w="1417" w:type="dxa"/>
            <w:tcBorders>
              <w:top w:val="dotted" w:sz="4" w:space="0" w:color="auto"/>
              <w:bottom w:val="dotted" w:sz="4" w:space="0" w:color="auto"/>
            </w:tcBorders>
          </w:tcPr>
          <w:p w:rsidR="00D7257A" w:rsidRPr="00262071" w:rsidRDefault="00D7257A" w:rsidP="00306013">
            <w:pPr>
              <w:jc w:val="center"/>
              <w:rPr>
                <w:rFonts w:eastAsia="Arial Unicode MS" w:cs="Arial"/>
              </w:rPr>
            </w:pPr>
            <w:r>
              <w:rPr>
                <w:rFonts w:eastAsia="Arial Unicode MS" w:cs="Arial"/>
              </w:rPr>
              <w:t>159</w:t>
            </w:r>
          </w:p>
        </w:tc>
        <w:tc>
          <w:tcPr>
            <w:tcW w:w="1701" w:type="dxa"/>
            <w:tcBorders>
              <w:top w:val="dotted" w:sz="4" w:space="0" w:color="auto"/>
              <w:bottom w:val="dotted" w:sz="4" w:space="0" w:color="auto"/>
            </w:tcBorders>
            <w:shd w:val="clear" w:color="auto" w:fill="auto"/>
          </w:tcPr>
          <w:p w:rsidR="00D7257A" w:rsidRDefault="00D7257A" w:rsidP="00306013">
            <w:pPr>
              <w:jc w:val="right"/>
              <w:rPr>
                <w:rFonts w:eastAsia="Arial Unicode MS" w:cs="Arial"/>
              </w:rPr>
            </w:pPr>
            <w:r>
              <w:rPr>
                <w:rFonts w:eastAsia="Arial Unicode MS" w:cs="Arial"/>
              </w:rPr>
              <w:t>2.500.925</w:t>
            </w:r>
          </w:p>
          <w:p w:rsidR="00D7257A" w:rsidRPr="00262071" w:rsidRDefault="00D7257A" w:rsidP="00306013">
            <w:pPr>
              <w:jc w:val="right"/>
              <w:rPr>
                <w:rFonts w:eastAsia="Arial Unicode MS" w:cs="Arial"/>
              </w:rPr>
            </w:pPr>
          </w:p>
        </w:tc>
      </w:tr>
      <w:tr w:rsidR="00D7257A" w:rsidTr="0065334C">
        <w:tc>
          <w:tcPr>
            <w:tcW w:w="3120" w:type="dxa"/>
            <w:tcBorders>
              <w:top w:val="dotted" w:sz="4" w:space="0" w:color="auto"/>
              <w:bottom w:val="dotted" w:sz="4" w:space="0" w:color="auto"/>
            </w:tcBorders>
          </w:tcPr>
          <w:p w:rsidR="00D7257A" w:rsidRPr="00A22E25" w:rsidRDefault="00D7257A" w:rsidP="00306013">
            <w:pPr>
              <w:jc w:val="left"/>
              <w:rPr>
                <w:rFonts w:eastAsia="Arial Unicode MS" w:cs="Arial"/>
                <w:lang w:val="nl-BE"/>
              </w:rPr>
            </w:pPr>
            <w:r>
              <w:rPr>
                <w:rFonts w:eastAsia="Arial" w:cs="Arial"/>
                <w:szCs w:val="20"/>
                <w:bdr w:val="nil"/>
                <w:lang w:val="nl-BE"/>
              </w:rPr>
              <w:t>Conformering aan de Europese normen die betrekking hebben op andere materies dan leefmilieu.</w:t>
            </w:r>
          </w:p>
        </w:tc>
        <w:tc>
          <w:tcPr>
            <w:tcW w:w="1275" w:type="dxa"/>
            <w:tcBorders>
              <w:top w:val="dotted" w:sz="4" w:space="0" w:color="auto"/>
              <w:bottom w:val="dotted" w:sz="4" w:space="0" w:color="auto"/>
            </w:tcBorders>
            <w:shd w:val="clear" w:color="auto" w:fill="auto"/>
          </w:tcPr>
          <w:p w:rsidR="00D7257A" w:rsidRPr="00262071" w:rsidRDefault="00D7257A" w:rsidP="00306013">
            <w:pPr>
              <w:jc w:val="center"/>
              <w:rPr>
                <w:rFonts w:eastAsia="Arial Unicode MS" w:cs="Arial"/>
              </w:rPr>
            </w:pPr>
            <w:r>
              <w:rPr>
                <w:rFonts w:eastAsia="Arial Unicode MS" w:cs="Arial"/>
              </w:rPr>
              <w:t>78</w:t>
            </w:r>
          </w:p>
        </w:tc>
        <w:tc>
          <w:tcPr>
            <w:tcW w:w="1134" w:type="dxa"/>
            <w:tcBorders>
              <w:top w:val="dotted" w:sz="4" w:space="0" w:color="auto"/>
              <w:bottom w:val="dotted" w:sz="4" w:space="0" w:color="auto"/>
            </w:tcBorders>
            <w:shd w:val="clear" w:color="auto" w:fill="auto"/>
          </w:tcPr>
          <w:p w:rsidR="00D7257A" w:rsidRPr="00262071" w:rsidRDefault="00D7257A" w:rsidP="00306013">
            <w:pPr>
              <w:jc w:val="center"/>
              <w:rPr>
                <w:rFonts w:eastAsia="Arial Unicode MS" w:cs="Arial"/>
              </w:rPr>
            </w:pPr>
            <w:r>
              <w:rPr>
                <w:rFonts w:eastAsia="Arial Unicode MS" w:cs="Arial"/>
              </w:rPr>
              <w:t>71</w:t>
            </w:r>
          </w:p>
        </w:tc>
        <w:tc>
          <w:tcPr>
            <w:tcW w:w="1418" w:type="dxa"/>
            <w:tcBorders>
              <w:top w:val="dotted" w:sz="4" w:space="0" w:color="auto"/>
              <w:bottom w:val="dotted" w:sz="4" w:space="0" w:color="auto"/>
            </w:tcBorders>
          </w:tcPr>
          <w:p w:rsidR="00D7257A" w:rsidRPr="00262071" w:rsidRDefault="00D7257A" w:rsidP="00306013">
            <w:pPr>
              <w:jc w:val="center"/>
              <w:rPr>
                <w:rFonts w:eastAsia="Arial Unicode MS" w:cs="Arial"/>
              </w:rPr>
            </w:pPr>
            <w:r>
              <w:rPr>
                <w:rFonts w:eastAsia="Arial Unicode MS" w:cs="Arial"/>
              </w:rPr>
              <w:t>49</w:t>
            </w:r>
          </w:p>
        </w:tc>
        <w:tc>
          <w:tcPr>
            <w:tcW w:w="1417" w:type="dxa"/>
            <w:tcBorders>
              <w:top w:val="dotted" w:sz="4" w:space="0" w:color="auto"/>
              <w:bottom w:val="dotted" w:sz="4" w:space="0" w:color="auto"/>
            </w:tcBorders>
          </w:tcPr>
          <w:p w:rsidR="00D7257A" w:rsidRPr="00262071" w:rsidRDefault="00D7257A" w:rsidP="00306013">
            <w:pPr>
              <w:jc w:val="center"/>
              <w:rPr>
                <w:rFonts w:eastAsia="Arial Unicode MS" w:cs="Arial"/>
              </w:rPr>
            </w:pPr>
            <w:r>
              <w:rPr>
                <w:rFonts w:eastAsia="Arial Unicode MS" w:cs="Arial"/>
              </w:rPr>
              <w:t>22</w:t>
            </w:r>
          </w:p>
        </w:tc>
        <w:tc>
          <w:tcPr>
            <w:tcW w:w="1701" w:type="dxa"/>
            <w:tcBorders>
              <w:top w:val="dotted" w:sz="4" w:space="0" w:color="auto"/>
              <w:bottom w:val="dotted" w:sz="4" w:space="0" w:color="auto"/>
            </w:tcBorders>
            <w:shd w:val="clear" w:color="auto" w:fill="auto"/>
          </w:tcPr>
          <w:p w:rsidR="00D7257A" w:rsidRPr="00262071" w:rsidRDefault="00D7257A" w:rsidP="00306013">
            <w:pPr>
              <w:jc w:val="right"/>
              <w:rPr>
                <w:rFonts w:eastAsia="Arial Unicode MS" w:cs="Arial"/>
              </w:rPr>
            </w:pPr>
            <w:r>
              <w:rPr>
                <w:rFonts w:eastAsia="Arial Unicode MS" w:cs="Arial"/>
              </w:rPr>
              <w:t>1.058.039</w:t>
            </w:r>
          </w:p>
        </w:tc>
      </w:tr>
      <w:tr w:rsidR="00D7257A" w:rsidTr="0065334C">
        <w:tc>
          <w:tcPr>
            <w:tcW w:w="3120" w:type="dxa"/>
            <w:tcBorders>
              <w:top w:val="single" w:sz="18" w:space="0" w:color="auto"/>
              <w:bottom w:val="single" w:sz="18" w:space="0" w:color="auto"/>
            </w:tcBorders>
          </w:tcPr>
          <w:p w:rsidR="00D7257A" w:rsidRPr="00262071" w:rsidRDefault="00D7257A" w:rsidP="00306013">
            <w:pPr>
              <w:rPr>
                <w:rFonts w:eastAsia="Arial Unicode MS" w:cs="Arial"/>
                <w:bCs/>
              </w:rPr>
            </w:pPr>
            <w:r>
              <w:rPr>
                <w:rFonts w:eastAsia="Arial" w:cs="Arial"/>
                <w:bCs/>
                <w:szCs w:val="20"/>
                <w:bdr w:val="nil"/>
                <w:lang w:val="nl-BE"/>
              </w:rPr>
              <w:t>TOTAAL</w:t>
            </w:r>
          </w:p>
        </w:tc>
        <w:tc>
          <w:tcPr>
            <w:tcW w:w="1275" w:type="dxa"/>
            <w:tcBorders>
              <w:top w:val="single" w:sz="18" w:space="0" w:color="auto"/>
              <w:bottom w:val="single" w:sz="18" w:space="0" w:color="auto"/>
            </w:tcBorders>
            <w:shd w:val="clear" w:color="auto" w:fill="auto"/>
          </w:tcPr>
          <w:p w:rsidR="00D7257A" w:rsidRPr="00262071" w:rsidRDefault="00D7257A" w:rsidP="00306013">
            <w:pPr>
              <w:jc w:val="center"/>
              <w:rPr>
                <w:rFonts w:eastAsia="Arial Unicode MS" w:cs="Arial"/>
                <w:bCs/>
              </w:rPr>
            </w:pPr>
            <w:r>
              <w:rPr>
                <w:rFonts w:eastAsia="Arial Unicode MS" w:cs="Arial"/>
                <w:bCs/>
              </w:rPr>
              <w:t>667</w:t>
            </w:r>
          </w:p>
        </w:tc>
        <w:tc>
          <w:tcPr>
            <w:tcW w:w="1134" w:type="dxa"/>
            <w:tcBorders>
              <w:top w:val="single" w:sz="18" w:space="0" w:color="auto"/>
              <w:bottom w:val="single" w:sz="18" w:space="0" w:color="auto"/>
            </w:tcBorders>
            <w:shd w:val="clear" w:color="auto" w:fill="auto"/>
          </w:tcPr>
          <w:p w:rsidR="00D7257A" w:rsidRPr="00262071" w:rsidRDefault="00D7257A" w:rsidP="00306013">
            <w:pPr>
              <w:jc w:val="center"/>
              <w:rPr>
                <w:rFonts w:eastAsia="Arial Unicode MS" w:cs="Arial"/>
                <w:bCs/>
              </w:rPr>
            </w:pPr>
            <w:r>
              <w:rPr>
                <w:rFonts w:eastAsia="Arial Unicode MS" w:cs="Arial"/>
                <w:bCs/>
              </w:rPr>
              <w:t>546</w:t>
            </w:r>
          </w:p>
        </w:tc>
        <w:tc>
          <w:tcPr>
            <w:tcW w:w="1418" w:type="dxa"/>
            <w:tcBorders>
              <w:top w:val="single" w:sz="18" w:space="0" w:color="auto"/>
              <w:bottom w:val="single" w:sz="18" w:space="0" w:color="auto"/>
            </w:tcBorders>
          </w:tcPr>
          <w:p w:rsidR="00D7257A" w:rsidRPr="00262071" w:rsidRDefault="00D7257A" w:rsidP="00306013">
            <w:pPr>
              <w:jc w:val="center"/>
              <w:rPr>
                <w:rFonts w:eastAsia="Arial Unicode MS" w:cs="Arial"/>
                <w:bCs/>
              </w:rPr>
            </w:pPr>
            <w:r>
              <w:rPr>
                <w:rFonts w:eastAsia="Arial Unicode MS" w:cs="Arial"/>
                <w:bCs/>
              </w:rPr>
              <w:t>301</w:t>
            </w:r>
          </w:p>
        </w:tc>
        <w:tc>
          <w:tcPr>
            <w:tcW w:w="1417" w:type="dxa"/>
            <w:tcBorders>
              <w:top w:val="single" w:sz="18" w:space="0" w:color="auto"/>
              <w:bottom w:val="single" w:sz="18" w:space="0" w:color="auto"/>
            </w:tcBorders>
          </w:tcPr>
          <w:p w:rsidR="00D7257A" w:rsidRPr="00262071" w:rsidRDefault="00D7257A" w:rsidP="00306013">
            <w:pPr>
              <w:jc w:val="center"/>
              <w:rPr>
                <w:rFonts w:eastAsia="Arial Unicode MS" w:cs="Arial"/>
                <w:bCs/>
              </w:rPr>
            </w:pPr>
            <w:r>
              <w:rPr>
                <w:rFonts w:eastAsia="Arial Unicode MS" w:cs="Arial"/>
                <w:bCs/>
              </w:rPr>
              <w:t>245</w:t>
            </w:r>
          </w:p>
        </w:tc>
        <w:tc>
          <w:tcPr>
            <w:tcW w:w="1701" w:type="dxa"/>
            <w:tcBorders>
              <w:top w:val="single" w:sz="18" w:space="0" w:color="auto"/>
              <w:bottom w:val="single" w:sz="18" w:space="0" w:color="auto"/>
            </w:tcBorders>
            <w:shd w:val="clear" w:color="auto" w:fill="auto"/>
          </w:tcPr>
          <w:p w:rsidR="00D7257A" w:rsidRPr="00262071" w:rsidRDefault="00D7257A" w:rsidP="00306013">
            <w:pPr>
              <w:jc w:val="right"/>
              <w:rPr>
                <w:rFonts w:eastAsia="Arial Unicode MS" w:cs="Arial"/>
                <w:bCs/>
              </w:rPr>
            </w:pPr>
            <w:r>
              <w:rPr>
                <w:rFonts w:eastAsia="Arial Unicode MS" w:cs="Arial"/>
                <w:bCs/>
              </w:rPr>
              <w:t>4.262.876</w:t>
            </w:r>
          </w:p>
        </w:tc>
      </w:tr>
    </w:tbl>
    <w:p w:rsidR="00D7257A" w:rsidRDefault="00D7257A" w:rsidP="00D7257A">
      <w:pPr>
        <w:tabs>
          <w:tab w:val="left" w:pos="1510"/>
          <w:tab w:val="left" w:pos="2472"/>
          <w:tab w:val="left" w:pos="3435"/>
          <w:tab w:val="left" w:pos="4397"/>
          <w:tab w:val="left" w:pos="5360"/>
          <w:tab w:val="left" w:pos="6190"/>
          <w:tab w:val="left" w:pos="7270"/>
          <w:tab w:val="left" w:pos="8248"/>
        </w:tabs>
        <w:ind w:left="70"/>
        <w:rPr>
          <w:rFonts w:cs="Arial"/>
        </w:rPr>
      </w:pPr>
    </w:p>
    <w:p w:rsidR="00D7257A" w:rsidRDefault="00D7257A" w:rsidP="00D7257A">
      <w:pPr>
        <w:tabs>
          <w:tab w:val="left" w:pos="1510"/>
          <w:tab w:val="left" w:pos="2472"/>
          <w:tab w:val="left" w:pos="3435"/>
          <w:tab w:val="left" w:pos="4397"/>
          <w:tab w:val="left" w:pos="5360"/>
          <w:tab w:val="left" w:pos="6190"/>
          <w:tab w:val="left" w:pos="7270"/>
          <w:tab w:val="left" w:pos="8248"/>
        </w:tabs>
        <w:ind w:left="70"/>
        <w:jc w:val="right"/>
        <w:rPr>
          <w:rFonts w:cs="Arial"/>
        </w:rPr>
      </w:pPr>
      <w:r>
        <w:rPr>
          <w:rFonts w:cs="Arial"/>
          <w:noProof/>
          <w:lang w:eastAsia="fr-BE"/>
        </w:rPr>
        <w:drawing>
          <wp:inline distT="0" distB="0" distL="0" distR="0" wp14:anchorId="29B02674" wp14:editId="65C00482">
            <wp:extent cx="5086350" cy="1800225"/>
            <wp:effectExtent l="0" t="0" r="0" b="0"/>
            <wp:docPr id="26" name="Graphique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7257A" w:rsidRPr="00262071" w:rsidRDefault="00D7257A" w:rsidP="00D7257A">
      <w:pPr>
        <w:pStyle w:val="Titre3"/>
        <w:numPr>
          <w:ilvl w:val="2"/>
          <w:numId w:val="1"/>
        </w:numPr>
        <w:rPr>
          <w:rFonts w:eastAsia="Arial Unicode MS"/>
        </w:rPr>
      </w:pPr>
      <w:bookmarkStart w:id="31" w:name="_Toc518917051"/>
      <w:r>
        <w:rPr>
          <w:rFonts w:eastAsia="Arial" w:cs="Arial"/>
          <w:szCs w:val="20"/>
          <w:bdr w:val="nil"/>
          <w:lang w:val="nl-BE"/>
        </w:rPr>
        <w:lastRenderedPageBreak/>
        <w:t>Wettelijke basissen</w:t>
      </w:r>
      <w:bookmarkEnd w:id="31"/>
    </w:p>
    <w:p w:rsidR="00D7257A" w:rsidRPr="00A22E25" w:rsidRDefault="00D7257A" w:rsidP="00D7257A">
      <w:pPr>
        <w:pStyle w:val="Sansinterligne"/>
        <w:rPr>
          <w:rFonts w:eastAsia="Arial Unicode MS"/>
          <w:lang w:val="nl-BE"/>
        </w:rPr>
      </w:pPr>
      <w:r>
        <w:rPr>
          <w:rFonts w:eastAsia="Arial" w:cs="Arial"/>
          <w:szCs w:val="20"/>
          <w:bdr w:val="nil"/>
          <w:lang w:val="nl-BE"/>
        </w:rPr>
        <w:t xml:space="preserve">Organieke ordonnantie van 13 december 2007 betreffende de steun ter bevordering van de economische expansie (BS van 10 januari 2008).  </w:t>
      </w:r>
    </w:p>
    <w:p w:rsidR="00D7257A" w:rsidRPr="00A22E25" w:rsidRDefault="00D7257A" w:rsidP="00D7257A">
      <w:pPr>
        <w:pStyle w:val="Sansinterligne"/>
        <w:rPr>
          <w:rFonts w:eastAsia="Arial Unicode MS"/>
          <w:lang w:val="nl-BE"/>
        </w:rPr>
      </w:pPr>
    </w:p>
    <w:p w:rsidR="00D7257A" w:rsidRPr="00A22E25" w:rsidRDefault="00D7257A" w:rsidP="00D7257A">
      <w:pPr>
        <w:pStyle w:val="Sansinterligne"/>
        <w:rPr>
          <w:rFonts w:eastAsia="Arial Unicode MS"/>
          <w:lang w:val="nl-BE"/>
        </w:rPr>
      </w:pPr>
      <w:r>
        <w:rPr>
          <w:rFonts w:eastAsia="Arial" w:cs="Arial"/>
          <w:szCs w:val="20"/>
          <w:bdr w:val="nil"/>
          <w:lang w:val="nl-BE"/>
        </w:rPr>
        <w:t>Besluit van de Brusselse Hoofdstedelijke Regering van 2 april 2009 (BS van 5 mei 2009) betreffende de steun tot bescherming van het leefmilieu, gewijzigd bij besluit van 2 mei 2013 (BS van 22 juli 2013).</w:t>
      </w:r>
    </w:p>
    <w:p w:rsidR="00D7257A" w:rsidRPr="00A22E25" w:rsidRDefault="00D7257A" w:rsidP="00D7257A">
      <w:pPr>
        <w:pStyle w:val="Sansinterligne"/>
        <w:rPr>
          <w:rFonts w:eastAsia="Arial Unicode MS"/>
          <w:lang w:val="nl-BE"/>
        </w:rPr>
      </w:pPr>
    </w:p>
    <w:p w:rsidR="00D7257A" w:rsidRPr="00A22E25" w:rsidRDefault="00D7257A" w:rsidP="00D7257A">
      <w:pPr>
        <w:pStyle w:val="Sansinterligne"/>
        <w:rPr>
          <w:rFonts w:eastAsia="Arial Unicode MS"/>
          <w:lang w:val="nl-BE"/>
        </w:rPr>
      </w:pPr>
      <w:r>
        <w:rPr>
          <w:rFonts w:eastAsia="Arial" w:cs="Arial"/>
          <w:szCs w:val="20"/>
          <w:bdr w:val="nil"/>
          <w:lang w:val="nl-BE"/>
        </w:rPr>
        <w:t>Besluit van de Brusselse Hoofdstedelijke Regering van 2 april 2009 (BS van 5 mei 2009) betreffende de steun voor energiebesparingen en productie van energie met behulp van hernieuwbare energiebronnen, gewijzigd bij besluit van 2 mei 2013 (BS van 22 juli 2013).</w:t>
      </w:r>
    </w:p>
    <w:p w:rsidR="00D7257A" w:rsidRPr="00A22E25" w:rsidRDefault="00D7257A" w:rsidP="00D7257A">
      <w:pPr>
        <w:pStyle w:val="Sansinterligne"/>
        <w:rPr>
          <w:rFonts w:eastAsia="Arial Unicode MS"/>
          <w:lang w:val="nl-BE"/>
        </w:rPr>
      </w:pPr>
    </w:p>
    <w:p w:rsidR="00D7257A" w:rsidRPr="00A22E25" w:rsidRDefault="00D7257A" w:rsidP="00D7257A">
      <w:pPr>
        <w:pStyle w:val="Sansinterligne"/>
        <w:rPr>
          <w:rFonts w:eastAsia="Arial Unicode MS"/>
          <w:lang w:val="nl-BE"/>
        </w:rPr>
      </w:pPr>
      <w:r>
        <w:rPr>
          <w:rFonts w:eastAsia="Arial" w:cs="Arial"/>
          <w:szCs w:val="20"/>
          <w:bdr w:val="nil"/>
          <w:lang w:val="nl-BE"/>
        </w:rPr>
        <w:t>Besluit van de Brusselse Hoofdstedelijke Regering van 2 april 2009 (BS van 5 mei 2009) betreffende de steun voor stedelijke integratie, gewijzigd bij besluit van 2 mei 2013 (BS van 22 juli 2013).</w:t>
      </w:r>
    </w:p>
    <w:p w:rsidR="00D7257A" w:rsidRPr="00A22E25" w:rsidRDefault="00D7257A" w:rsidP="00D7257A">
      <w:pPr>
        <w:pStyle w:val="Sansinterligne"/>
        <w:rPr>
          <w:rFonts w:eastAsia="Arial Unicode MS"/>
          <w:lang w:val="nl-BE"/>
        </w:rPr>
      </w:pPr>
    </w:p>
    <w:p w:rsidR="00D7257A" w:rsidRPr="00A22E25" w:rsidRDefault="00D7257A" w:rsidP="00D7257A">
      <w:pPr>
        <w:pStyle w:val="Sansinterligne"/>
        <w:rPr>
          <w:rFonts w:eastAsia="Arial Unicode MS"/>
          <w:lang w:val="nl-BE"/>
        </w:rPr>
      </w:pPr>
      <w:r>
        <w:rPr>
          <w:rFonts w:eastAsia="Arial" w:cs="Arial"/>
          <w:szCs w:val="20"/>
          <w:bdr w:val="nil"/>
          <w:lang w:val="nl-BE"/>
        </w:rPr>
        <w:t xml:space="preserve">Besluit van de Brusselse Hoofdstedelijke Regering van 2 april 2009 (BS van 5 mei 2009) betreffende de steun voor de productie van </w:t>
      </w:r>
      <w:proofErr w:type="spellStart"/>
      <w:r>
        <w:rPr>
          <w:rFonts w:eastAsia="Arial" w:cs="Arial"/>
          <w:szCs w:val="20"/>
          <w:bdr w:val="nil"/>
          <w:lang w:val="nl-BE"/>
        </w:rPr>
        <w:t>eco</w:t>
      </w:r>
      <w:proofErr w:type="spellEnd"/>
      <w:r>
        <w:rPr>
          <w:rFonts w:eastAsia="Arial" w:cs="Arial"/>
          <w:szCs w:val="20"/>
          <w:bdr w:val="nil"/>
          <w:lang w:val="nl-BE"/>
        </w:rPr>
        <w:t>-producten, gewijzigd bij besluit van 2 mei 2013 (BS van 22 juli 2013).</w:t>
      </w:r>
    </w:p>
    <w:p w:rsidR="00D7257A" w:rsidRPr="00A22E25" w:rsidRDefault="00D7257A" w:rsidP="00D7257A">
      <w:pPr>
        <w:pStyle w:val="Sansinterligne"/>
        <w:rPr>
          <w:rFonts w:eastAsia="Arial Unicode MS"/>
          <w:lang w:val="nl-BE"/>
        </w:rPr>
      </w:pPr>
    </w:p>
    <w:p w:rsidR="00D7257A" w:rsidRPr="00A22E25" w:rsidRDefault="00D7257A" w:rsidP="00D7257A">
      <w:pPr>
        <w:pStyle w:val="Sansinterligne"/>
        <w:rPr>
          <w:rFonts w:eastAsia="Arial Unicode MS"/>
          <w:lang w:val="nl-BE"/>
        </w:rPr>
      </w:pPr>
      <w:r>
        <w:rPr>
          <w:rFonts w:eastAsia="Arial" w:cs="Arial"/>
          <w:szCs w:val="20"/>
          <w:bdr w:val="nil"/>
          <w:lang w:val="nl-BE"/>
        </w:rPr>
        <w:t>Besluit van de Brusselse Hoofdstedelijke Regering van 2 april 2009 (BS van 5 mei 2009) betreffende de steun voor een aanpassing aan de normen in niet-milieugebonden aangelegenheden, gewijzigd bij besluit van 2 mei 2013 (BS van 22 juli 2013).</w:t>
      </w:r>
    </w:p>
    <w:p w:rsidR="00D7257A" w:rsidRPr="00A22E25" w:rsidRDefault="00D7257A" w:rsidP="00D7257A">
      <w:pPr>
        <w:pStyle w:val="Sansinterligne"/>
        <w:rPr>
          <w:rFonts w:eastAsia="Arial Unicode MS"/>
          <w:lang w:val="nl-BE"/>
        </w:rPr>
      </w:pPr>
    </w:p>
    <w:p w:rsidR="00D7257A" w:rsidRPr="00A22E25" w:rsidRDefault="00D7257A" w:rsidP="00D7257A">
      <w:pPr>
        <w:pStyle w:val="Sansinterligne"/>
        <w:rPr>
          <w:rFonts w:eastAsia="Arial Unicode MS"/>
          <w:lang w:val="nl-BE"/>
        </w:rPr>
      </w:pPr>
      <w:proofErr w:type="gramStart"/>
      <w:r>
        <w:rPr>
          <w:rFonts w:eastAsia="Arial" w:cs="Arial"/>
          <w:szCs w:val="20"/>
          <w:bdr w:val="nil"/>
          <w:lang w:val="nl-BE"/>
        </w:rPr>
        <w:t xml:space="preserve">Besluit van de Brusselse Hoofdstedelijke Regering van 13 november 2008 (BS van 14 januari 2009) betreffende de steun aan ondernemingen tijdens werken aan de openbare weg (BS van 14 januari 2009. </w:t>
      </w:r>
      <w:proofErr w:type="gramEnd"/>
    </w:p>
    <w:p w:rsidR="00D7257A" w:rsidRDefault="00D7257A" w:rsidP="00D7257A">
      <w:pPr>
        <w:pStyle w:val="Titre3"/>
        <w:numPr>
          <w:ilvl w:val="2"/>
          <w:numId w:val="1"/>
        </w:numPr>
        <w:rPr>
          <w:rFonts w:eastAsia="Arial Unicode MS"/>
        </w:rPr>
      </w:pPr>
      <w:bookmarkStart w:id="32" w:name="_Toc518917052"/>
      <w:r>
        <w:rPr>
          <w:rFonts w:eastAsia="Arial" w:cs="Arial"/>
          <w:szCs w:val="20"/>
          <w:bdr w:val="nil"/>
          <w:lang w:val="nl-BE"/>
        </w:rPr>
        <w:t>Vaststellingen</w:t>
      </w:r>
      <w:bookmarkEnd w:id="32"/>
    </w:p>
    <w:p w:rsidR="00D7257A" w:rsidRPr="00A22E25" w:rsidRDefault="00D7257A" w:rsidP="00D7257A">
      <w:pPr>
        <w:rPr>
          <w:rFonts w:eastAsia="Arial Unicode MS" w:cs="Arial"/>
          <w:lang w:val="nl-BE"/>
        </w:rPr>
      </w:pPr>
      <w:r>
        <w:rPr>
          <w:rFonts w:eastAsia="Arial" w:cs="Arial"/>
          <w:szCs w:val="20"/>
          <w:bdr w:val="nil"/>
          <w:lang w:val="nl-BE"/>
        </w:rPr>
        <w:t>In 2017 zijn er 546 dossiers het voorwerp geweest van een beslissing waarvan er 301 gunstig waren (55,13% van de aanvragen).</w:t>
      </w:r>
    </w:p>
    <w:p w:rsidR="00D7257A" w:rsidRPr="00262071" w:rsidRDefault="00D7257A" w:rsidP="00D7257A">
      <w:pPr>
        <w:rPr>
          <w:rFonts w:eastAsia="Arial Unicode MS" w:cs="Arial"/>
        </w:rPr>
      </w:pPr>
      <w:proofErr w:type="gramStart"/>
      <w:r>
        <w:rPr>
          <w:rFonts w:eastAsia="Arial" w:cs="Arial"/>
          <w:szCs w:val="20"/>
          <w:bdr w:val="nil"/>
          <w:lang w:val="nl-BE"/>
        </w:rPr>
        <w:t xml:space="preserve">Vergeleken met het vorige jaar stellen we een aanzienlijke toename met 61,54% vast van het aantal behandelde dossiers, rechtstreeks gelinkt aan de stijging van het aantal ingediende dossiers (+27,05%). </w:t>
      </w:r>
      <w:proofErr w:type="gramEnd"/>
      <w:r>
        <w:rPr>
          <w:rFonts w:eastAsia="Arial" w:cs="Arial"/>
          <w:szCs w:val="20"/>
          <w:bdr w:val="nil"/>
          <w:lang w:val="nl-BE"/>
        </w:rPr>
        <w:t>Het weigeringscijfer</w:t>
      </w:r>
      <w:r>
        <w:rPr>
          <w:rStyle w:val="Appelnotedebasdep"/>
          <w:rFonts w:eastAsia="Arial Unicode MS" w:cs="Arial"/>
        </w:rPr>
        <w:footnoteReference w:id="2"/>
      </w:r>
      <w:r>
        <w:rPr>
          <w:rFonts w:eastAsia="Arial" w:cs="Arial"/>
          <w:szCs w:val="20"/>
          <w:bdr w:val="nil"/>
          <w:lang w:val="nl-BE"/>
        </w:rPr>
        <w:t xml:space="preserve"> stijgt van 33,43% in 2016 naar 44,87% in 2017.</w:t>
      </w:r>
    </w:p>
    <w:p w:rsidR="00D7257A" w:rsidRPr="00A22E25" w:rsidRDefault="00D7257A" w:rsidP="00D7257A">
      <w:pPr>
        <w:pStyle w:val="Titre3"/>
        <w:numPr>
          <w:ilvl w:val="2"/>
          <w:numId w:val="1"/>
        </w:numPr>
        <w:rPr>
          <w:rFonts w:eastAsia="Arial Unicode MS"/>
          <w:lang w:val="nl-BE"/>
        </w:rPr>
      </w:pPr>
      <w:bookmarkStart w:id="33" w:name="_Toc518917053"/>
      <w:r>
        <w:rPr>
          <w:rFonts w:eastAsia="Arial" w:cs="Arial"/>
          <w:szCs w:val="20"/>
          <w:bdr w:val="nil"/>
          <w:lang w:val="nl-BE"/>
        </w:rPr>
        <w:t>Opsplitsing van de dossiers volgens de grootte van de onderneming</w:t>
      </w:r>
      <w:bookmarkEnd w:id="33"/>
    </w:p>
    <w:p w:rsidR="00D7257A" w:rsidRPr="00A22E25" w:rsidRDefault="00D7257A" w:rsidP="00D7257A">
      <w:pPr>
        <w:ind w:firstLine="708"/>
        <w:rPr>
          <w:rFonts w:eastAsia="Arial Unicode MS" w:cs="Arial"/>
          <w:lang w:val="nl-BE"/>
        </w:rPr>
      </w:pPr>
      <w:r>
        <w:rPr>
          <w:rFonts w:eastAsia="Arial" w:cs="Arial"/>
          <w:szCs w:val="20"/>
          <w:bdr w:val="nil"/>
          <w:lang w:val="nl-BE"/>
        </w:rPr>
        <w:t>(definitie van de grootte: zie bijlage)</w:t>
      </w:r>
    </w:p>
    <w:p w:rsidR="00D7257A" w:rsidRPr="00A22E25" w:rsidRDefault="00D7257A" w:rsidP="00D7257A">
      <w:pPr>
        <w:rPr>
          <w:rFonts w:eastAsia="Arial Unicode MS" w:cs="Arial"/>
          <w:lang w:val="nl-BE"/>
        </w:rPr>
      </w:pPr>
      <w:r>
        <w:rPr>
          <w:rFonts w:eastAsia="Arial" w:cs="Arial"/>
          <w:szCs w:val="20"/>
          <w:bdr w:val="nil"/>
          <w:lang w:val="nl-BE"/>
        </w:rPr>
        <w:t>De subsidies voor specifieke investeringen werden vooral door micro-ondernemingen aangevraagd.</w:t>
      </w:r>
    </w:p>
    <w:p w:rsidR="00D7257A" w:rsidRPr="00262071" w:rsidRDefault="00D7257A" w:rsidP="00D7257A">
      <w:pPr>
        <w:ind w:firstLine="708"/>
        <w:rPr>
          <w:rFonts w:eastAsia="Arial Unicode MS" w:cs="Arial"/>
          <w:b/>
          <w:u w:val="single"/>
        </w:rPr>
      </w:pPr>
      <w:r>
        <w:rPr>
          <w:rFonts w:cs="Arial"/>
          <w:noProof/>
          <w:lang w:eastAsia="fr-BE"/>
        </w:rPr>
        <w:lastRenderedPageBreak/>
        <w:drawing>
          <wp:inline distT="0" distB="0" distL="0" distR="0" wp14:anchorId="1279DD4D" wp14:editId="682B7FED">
            <wp:extent cx="5759450" cy="1989284"/>
            <wp:effectExtent l="0" t="0" r="0" b="0"/>
            <wp:docPr id="27" name="Graphique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7257A" w:rsidRPr="00A22E25" w:rsidRDefault="00D7257A" w:rsidP="00D7257A">
      <w:pPr>
        <w:pStyle w:val="Titre3"/>
        <w:numPr>
          <w:ilvl w:val="2"/>
          <w:numId w:val="1"/>
        </w:numPr>
        <w:rPr>
          <w:rFonts w:eastAsia="Arial Unicode MS"/>
          <w:lang w:val="nl-BE"/>
        </w:rPr>
      </w:pPr>
      <w:bookmarkStart w:id="34" w:name="_Toc518917054"/>
      <w:r>
        <w:rPr>
          <w:rFonts w:eastAsia="Arial" w:cs="Arial"/>
          <w:szCs w:val="20"/>
          <w:bdr w:val="nil"/>
          <w:lang w:val="nl-BE"/>
        </w:rPr>
        <w:t>Opsplitsing van de toegekende premies volgens de activiteitensector (NACEBEL)</w:t>
      </w:r>
      <w:bookmarkEnd w:id="34"/>
    </w:p>
    <w:p w:rsidR="00D7257A" w:rsidRPr="00A22E25" w:rsidRDefault="00D7257A" w:rsidP="00D7257A">
      <w:pPr>
        <w:rPr>
          <w:rFonts w:eastAsia="Arial Unicode MS" w:cs="Arial"/>
          <w:b/>
          <w:u w:val="single"/>
          <w:lang w:val="nl-BE"/>
        </w:rPr>
      </w:pPr>
      <w:r>
        <w:rPr>
          <w:rFonts w:eastAsia="Arial" w:cs="Arial"/>
          <w:szCs w:val="20"/>
          <w:bdr w:val="nil"/>
          <w:lang w:val="nl-BE"/>
        </w:rPr>
        <w:t xml:space="preserve">            </w:t>
      </w:r>
      <w:r>
        <w:rPr>
          <w:rFonts w:eastAsia="Arial" w:cs="Arial"/>
          <w:szCs w:val="20"/>
          <w:bdr w:val="nil"/>
          <w:lang w:val="nl-BE"/>
        </w:rPr>
        <w:tab/>
        <w:t>(definitie van de activiteitensectoren: zie bijlage)</w:t>
      </w:r>
    </w:p>
    <w:p w:rsidR="00D7257A" w:rsidRPr="00A22E25" w:rsidRDefault="00D7257A" w:rsidP="00D7257A">
      <w:pPr>
        <w:rPr>
          <w:lang w:val="nl-BE"/>
        </w:rPr>
      </w:pPr>
      <w:r>
        <w:rPr>
          <w:rFonts w:eastAsia="Arial" w:cs="Arial"/>
          <w:szCs w:val="20"/>
          <w:bdr w:val="nil"/>
          <w:lang w:val="nl-BE"/>
        </w:rPr>
        <w:t>De subsidies voor specifieke investeringen komen vooral de handel (49,16%) en de horeca (26,68%) ten goede.</w:t>
      </w:r>
    </w:p>
    <w:p w:rsidR="00D7257A" w:rsidRPr="005C0B8D" w:rsidRDefault="00D7257A" w:rsidP="00D7257A">
      <w:r>
        <w:rPr>
          <w:rFonts w:eastAsia="Arial Unicode MS" w:cs="Arial"/>
          <w:noProof/>
          <w:lang w:eastAsia="fr-BE"/>
        </w:rPr>
        <w:drawing>
          <wp:inline distT="0" distB="0" distL="0" distR="0" wp14:anchorId="67D7A6B3" wp14:editId="572307AE">
            <wp:extent cx="5759450" cy="2244169"/>
            <wp:effectExtent l="0" t="0" r="0" b="0"/>
            <wp:docPr id="28" name="Graphique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7257A" w:rsidRDefault="00D7257A" w:rsidP="00D7257A">
      <w:pPr>
        <w:jc w:val="left"/>
        <w:rPr>
          <w:rFonts w:eastAsiaTheme="majorEastAsia" w:cstheme="majorBidi"/>
          <w:b/>
          <w:bCs/>
          <w:color w:val="0A00BE"/>
          <w:sz w:val="28"/>
          <w:szCs w:val="28"/>
        </w:rPr>
      </w:pPr>
      <w:r>
        <w:br w:type="page"/>
      </w:r>
    </w:p>
    <w:p w:rsidR="00D7257A" w:rsidRPr="00A22E25" w:rsidRDefault="00D7257A" w:rsidP="00D7257A">
      <w:pPr>
        <w:pStyle w:val="Titre1"/>
        <w:numPr>
          <w:ilvl w:val="0"/>
          <w:numId w:val="1"/>
        </w:numPr>
        <w:rPr>
          <w:lang w:val="nl-BE"/>
        </w:rPr>
      </w:pPr>
      <w:bookmarkStart w:id="35" w:name="_Toc518917055"/>
      <w:r>
        <w:rPr>
          <w:rFonts w:eastAsia="Arial" w:cs="Arial"/>
          <w:bdr w:val="nil"/>
          <w:lang w:val="nl-BE"/>
        </w:rPr>
        <w:lastRenderedPageBreak/>
        <w:t>Ordonnantie van 13 januari 1994 betreffende de bevordering van de buitenlandse handel</w:t>
      </w:r>
      <w:bookmarkEnd w:id="35"/>
      <w:r>
        <w:rPr>
          <w:rFonts w:eastAsia="Arial" w:cs="Arial"/>
          <w:bdr w:val="nil"/>
          <w:lang w:val="nl-BE"/>
        </w:rPr>
        <w:t xml:space="preserve"> </w:t>
      </w:r>
    </w:p>
    <w:p w:rsidR="00D7257A" w:rsidRDefault="00D7257A" w:rsidP="00D7257A">
      <w:pPr>
        <w:pStyle w:val="Titre3"/>
        <w:numPr>
          <w:ilvl w:val="2"/>
          <w:numId w:val="1"/>
        </w:numPr>
        <w:rPr>
          <w:rFonts w:eastAsia="Arial Unicode MS"/>
        </w:rPr>
      </w:pPr>
      <w:bookmarkStart w:id="36" w:name="_Toc518917056"/>
      <w:r>
        <w:rPr>
          <w:rFonts w:eastAsia="Arial" w:cs="Arial"/>
          <w:szCs w:val="20"/>
          <w:bdr w:val="nil"/>
          <w:lang w:val="nl-BE"/>
        </w:rPr>
        <w:t>Overzicht</w:t>
      </w:r>
      <w:bookmarkEnd w:id="36"/>
    </w:p>
    <w:p w:rsidR="00D7257A" w:rsidRPr="00A22E25" w:rsidRDefault="00D7257A" w:rsidP="00D7257A">
      <w:pPr>
        <w:rPr>
          <w:lang w:val="nl-BE"/>
        </w:rPr>
      </w:pPr>
      <w:r>
        <w:rPr>
          <w:rFonts w:eastAsia="Arial" w:cs="Arial"/>
          <w:szCs w:val="20"/>
          <w:bdr w:val="nil"/>
          <w:lang w:val="nl-BE"/>
        </w:rPr>
        <w:t xml:space="preserve">De financiële tegemoetkomingen voor de bevordering van de buitenlandse handel worden toegekend aan zelfstandigen en </w:t>
      </w:r>
      <w:proofErr w:type="spellStart"/>
      <w:r>
        <w:rPr>
          <w:rFonts w:eastAsia="Arial" w:cs="Arial"/>
          <w:szCs w:val="20"/>
          <w:bdr w:val="nil"/>
          <w:lang w:val="nl-BE"/>
        </w:rPr>
        <w:t>kmo's</w:t>
      </w:r>
      <w:proofErr w:type="spellEnd"/>
      <w:r>
        <w:rPr>
          <w:rFonts w:eastAsia="Arial" w:cs="Arial"/>
          <w:szCs w:val="20"/>
          <w:bdr w:val="nil"/>
          <w:lang w:val="nl-BE"/>
        </w:rPr>
        <w:t xml:space="preserve"> en omvatten:</w:t>
      </w:r>
    </w:p>
    <w:p w:rsidR="00D7257A" w:rsidRPr="00A22E25" w:rsidRDefault="00D7257A" w:rsidP="00D7257A">
      <w:pPr>
        <w:pStyle w:val="Paragraphedeliste"/>
        <w:numPr>
          <w:ilvl w:val="0"/>
          <w:numId w:val="3"/>
        </w:numPr>
        <w:rPr>
          <w:lang w:val="nl-BE"/>
        </w:rPr>
      </w:pPr>
      <w:r>
        <w:rPr>
          <w:rFonts w:eastAsia="Arial" w:cs="Arial"/>
          <w:szCs w:val="20"/>
          <w:bdr w:val="nil"/>
          <w:lang w:val="nl-BE"/>
        </w:rPr>
        <w:t xml:space="preserve">steun voor de realisatie van </w:t>
      </w:r>
      <w:proofErr w:type="spellStart"/>
      <w:r>
        <w:rPr>
          <w:rFonts w:eastAsia="Arial" w:cs="Arial"/>
          <w:szCs w:val="20"/>
          <w:bdr w:val="nil"/>
          <w:lang w:val="nl-BE"/>
        </w:rPr>
        <w:t>exportgerelateerde</w:t>
      </w:r>
      <w:proofErr w:type="spellEnd"/>
      <w:r>
        <w:rPr>
          <w:rFonts w:eastAsia="Arial" w:cs="Arial"/>
          <w:szCs w:val="20"/>
          <w:bdr w:val="nil"/>
          <w:lang w:val="nl-BE"/>
        </w:rPr>
        <w:t xml:space="preserve"> informatiedragers;</w:t>
      </w:r>
    </w:p>
    <w:p w:rsidR="00D7257A" w:rsidRPr="00A22E25" w:rsidRDefault="00D7257A" w:rsidP="00D7257A">
      <w:pPr>
        <w:pStyle w:val="Paragraphedeliste"/>
        <w:numPr>
          <w:ilvl w:val="0"/>
          <w:numId w:val="3"/>
        </w:numPr>
        <w:rPr>
          <w:lang w:val="nl-BE"/>
        </w:rPr>
      </w:pPr>
      <w:r>
        <w:rPr>
          <w:rFonts w:eastAsia="Arial" w:cs="Arial"/>
          <w:szCs w:val="20"/>
          <w:bdr w:val="nil"/>
          <w:lang w:val="nl-BE"/>
        </w:rPr>
        <w:t>steun voor de deelname aan beurzen in het buitenland;</w:t>
      </w:r>
    </w:p>
    <w:p w:rsidR="00D7257A" w:rsidRPr="00A22E25" w:rsidRDefault="00D7257A" w:rsidP="00D7257A">
      <w:pPr>
        <w:pStyle w:val="Paragraphedeliste"/>
        <w:numPr>
          <w:ilvl w:val="0"/>
          <w:numId w:val="3"/>
        </w:numPr>
        <w:rPr>
          <w:lang w:val="nl-BE"/>
        </w:rPr>
      </w:pPr>
      <w:r>
        <w:rPr>
          <w:rFonts w:eastAsia="Arial" w:cs="Arial"/>
          <w:szCs w:val="20"/>
          <w:bdr w:val="nil"/>
          <w:lang w:val="nl-BE"/>
        </w:rPr>
        <w:t>steun voor prospectiereizen buiten de Europese Unie;</w:t>
      </w:r>
    </w:p>
    <w:p w:rsidR="00D7257A" w:rsidRPr="00A22E25" w:rsidRDefault="00D7257A" w:rsidP="00D7257A">
      <w:pPr>
        <w:pStyle w:val="Paragraphedeliste"/>
        <w:numPr>
          <w:ilvl w:val="0"/>
          <w:numId w:val="3"/>
        </w:numPr>
        <w:rPr>
          <w:lang w:val="nl-BE"/>
        </w:rPr>
      </w:pPr>
      <w:r>
        <w:rPr>
          <w:rFonts w:eastAsia="Arial" w:cs="Arial"/>
          <w:szCs w:val="20"/>
          <w:bdr w:val="nil"/>
          <w:lang w:val="nl-BE"/>
        </w:rPr>
        <w:t>steun voor de deelname aan offerteoproepen voor markten buiten de Europese Unie;</w:t>
      </w:r>
    </w:p>
    <w:p w:rsidR="00D7257A" w:rsidRPr="00A22E25" w:rsidRDefault="00D7257A" w:rsidP="00D7257A">
      <w:pPr>
        <w:pStyle w:val="Paragraphedeliste"/>
        <w:numPr>
          <w:ilvl w:val="0"/>
          <w:numId w:val="3"/>
        </w:numPr>
        <w:rPr>
          <w:rFonts w:eastAsia="Arial Unicode MS" w:cs="Arial"/>
          <w:b/>
          <w:lang w:val="nl-BE"/>
        </w:rPr>
      </w:pPr>
      <w:r>
        <w:rPr>
          <w:rFonts w:eastAsia="Arial" w:cs="Arial"/>
          <w:szCs w:val="20"/>
          <w:bdr w:val="nil"/>
          <w:lang w:val="nl-BE"/>
        </w:rPr>
        <w:t>steun voor de opening van vertegenwoordigingskantoren buiten de Europese Unie.</w:t>
      </w:r>
    </w:p>
    <w:tbl>
      <w:tblPr>
        <w:tblW w:w="9998" w:type="dxa"/>
        <w:tblInd w:w="70"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279"/>
        <w:gridCol w:w="1312"/>
        <w:gridCol w:w="1454"/>
        <w:gridCol w:w="1521"/>
        <w:gridCol w:w="1156"/>
        <w:gridCol w:w="1276"/>
      </w:tblGrid>
      <w:tr w:rsidR="00D7257A" w:rsidTr="00306013">
        <w:tc>
          <w:tcPr>
            <w:tcW w:w="3279" w:type="dxa"/>
            <w:tcBorders>
              <w:bottom w:val="single" w:sz="18" w:space="0" w:color="auto"/>
            </w:tcBorders>
          </w:tcPr>
          <w:p w:rsidR="00D7257A" w:rsidRPr="00262071" w:rsidRDefault="00D7257A" w:rsidP="00306013">
            <w:pPr>
              <w:ind w:left="57"/>
              <w:rPr>
                <w:rFonts w:eastAsia="Arial Unicode MS" w:cs="Arial"/>
                <w:bCs/>
              </w:rPr>
            </w:pPr>
            <w:r>
              <w:rPr>
                <w:rFonts w:eastAsia="Arial" w:cs="Arial"/>
                <w:bCs/>
                <w:szCs w:val="20"/>
                <w:bdr w:val="nil"/>
                <w:lang w:val="nl-BE"/>
              </w:rPr>
              <w:t>Type dossiers</w:t>
            </w:r>
          </w:p>
        </w:tc>
        <w:tc>
          <w:tcPr>
            <w:tcW w:w="1312" w:type="dxa"/>
            <w:tcBorders>
              <w:bottom w:val="single" w:sz="18" w:space="0" w:color="auto"/>
            </w:tcBorders>
            <w:shd w:val="clear" w:color="auto" w:fill="auto"/>
          </w:tcPr>
          <w:p w:rsidR="00D7257A" w:rsidRPr="00262071" w:rsidRDefault="00D7257A" w:rsidP="00306013">
            <w:pPr>
              <w:ind w:left="57"/>
              <w:jc w:val="center"/>
              <w:rPr>
                <w:rFonts w:eastAsia="Arial Unicode MS" w:cs="Arial"/>
                <w:bCs/>
              </w:rPr>
            </w:pPr>
            <w:r>
              <w:rPr>
                <w:rFonts w:eastAsia="Arial" w:cs="Arial"/>
                <w:bCs/>
                <w:szCs w:val="20"/>
                <w:bdr w:val="nil"/>
                <w:lang w:val="nl-BE"/>
              </w:rPr>
              <w:t xml:space="preserve">Aantal ingediende dossiers </w:t>
            </w:r>
          </w:p>
        </w:tc>
        <w:tc>
          <w:tcPr>
            <w:tcW w:w="1454" w:type="dxa"/>
            <w:tcBorders>
              <w:bottom w:val="single" w:sz="18" w:space="0" w:color="auto"/>
            </w:tcBorders>
            <w:shd w:val="clear" w:color="auto" w:fill="auto"/>
          </w:tcPr>
          <w:p w:rsidR="00D7257A" w:rsidRPr="00A22E25" w:rsidRDefault="00D7257A" w:rsidP="00306013">
            <w:pPr>
              <w:ind w:left="57"/>
              <w:jc w:val="center"/>
              <w:rPr>
                <w:rFonts w:eastAsia="Arial Unicode MS" w:cs="Arial"/>
                <w:bCs/>
                <w:lang w:val="nl-BE"/>
              </w:rPr>
            </w:pPr>
            <w:r>
              <w:rPr>
                <w:rFonts w:eastAsia="Arial" w:cs="Arial"/>
                <w:bCs/>
                <w:szCs w:val="20"/>
                <w:bdr w:val="nil"/>
                <w:lang w:val="nl-BE"/>
              </w:rPr>
              <w:t>Totaal aantal dossiers met een beslissing</w:t>
            </w:r>
          </w:p>
        </w:tc>
        <w:tc>
          <w:tcPr>
            <w:tcW w:w="1521" w:type="dxa"/>
            <w:tcBorders>
              <w:bottom w:val="single" w:sz="18" w:space="0" w:color="auto"/>
            </w:tcBorders>
          </w:tcPr>
          <w:p w:rsidR="00D7257A" w:rsidRPr="00262071" w:rsidRDefault="00D7257A" w:rsidP="00306013">
            <w:pPr>
              <w:ind w:left="57"/>
              <w:jc w:val="center"/>
              <w:rPr>
                <w:rFonts w:eastAsia="Arial Unicode MS" w:cs="Arial"/>
                <w:bCs/>
              </w:rPr>
            </w:pPr>
            <w:r>
              <w:rPr>
                <w:rFonts w:eastAsia="Arial" w:cs="Arial"/>
                <w:bCs/>
                <w:szCs w:val="20"/>
                <w:bdr w:val="nil"/>
                <w:lang w:val="nl-BE"/>
              </w:rPr>
              <w:t>Beslissingen tot toekenning</w:t>
            </w:r>
          </w:p>
        </w:tc>
        <w:tc>
          <w:tcPr>
            <w:tcW w:w="1156" w:type="dxa"/>
            <w:tcBorders>
              <w:bottom w:val="single" w:sz="18" w:space="0" w:color="auto"/>
            </w:tcBorders>
          </w:tcPr>
          <w:p w:rsidR="00D7257A" w:rsidRPr="00262071" w:rsidRDefault="00D7257A" w:rsidP="00306013">
            <w:pPr>
              <w:ind w:left="57"/>
              <w:jc w:val="center"/>
              <w:rPr>
                <w:rFonts w:eastAsia="Arial Unicode MS" w:cs="Arial"/>
                <w:bCs/>
              </w:rPr>
            </w:pPr>
            <w:r>
              <w:rPr>
                <w:rFonts w:eastAsia="Arial" w:cs="Arial"/>
                <w:bCs/>
                <w:szCs w:val="20"/>
                <w:bdr w:val="nil"/>
                <w:lang w:val="nl-BE"/>
              </w:rPr>
              <w:t>Beslissingen</w:t>
            </w:r>
            <w:r>
              <w:rPr>
                <w:rFonts w:eastAsia="Arial" w:cs="Arial"/>
                <w:bCs/>
                <w:szCs w:val="20"/>
                <w:bdr w:val="nil"/>
                <w:lang w:val="nl-BE"/>
              </w:rPr>
              <w:br/>
              <w:t xml:space="preserve"> tot weigering</w:t>
            </w:r>
          </w:p>
        </w:tc>
        <w:tc>
          <w:tcPr>
            <w:tcW w:w="1276" w:type="dxa"/>
            <w:tcBorders>
              <w:bottom w:val="single" w:sz="18" w:space="0" w:color="auto"/>
            </w:tcBorders>
            <w:shd w:val="clear" w:color="auto" w:fill="auto"/>
          </w:tcPr>
          <w:p w:rsidR="00D7257A" w:rsidRPr="00262071" w:rsidRDefault="00D7257A" w:rsidP="00306013">
            <w:pPr>
              <w:ind w:left="57"/>
              <w:jc w:val="center"/>
              <w:rPr>
                <w:rFonts w:eastAsia="Arial Unicode MS" w:cs="Arial"/>
                <w:bCs/>
              </w:rPr>
            </w:pPr>
            <w:r>
              <w:rPr>
                <w:rFonts w:eastAsia="Arial" w:cs="Arial"/>
                <w:bCs/>
                <w:szCs w:val="20"/>
                <w:bdr w:val="nil"/>
                <w:lang w:val="nl-BE"/>
              </w:rPr>
              <w:t xml:space="preserve">Bedrag van de </w:t>
            </w:r>
            <w:proofErr w:type="gramStart"/>
            <w:r>
              <w:rPr>
                <w:rFonts w:eastAsia="Arial" w:cs="Arial"/>
                <w:bCs/>
                <w:szCs w:val="20"/>
                <w:bdr w:val="nil"/>
                <w:lang w:val="nl-BE"/>
              </w:rPr>
              <w:t xml:space="preserve">premies  </w:t>
            </w:r>
            <w:proofErr w:type="gramEnd"/>
          </w:p>
        </w:tc>
      </w:tr>
      <w:tr w:rsidR="00D7257A" w:rsidTr="00306013">
        <w:tc>
          <w:tcPr>
            <w:tcW w:w="3279" w:type="dxa"/>
            <w:tcBorders>
              <w:top w:val="dotted" w:sz="4" w:space="0" w:color="auto"/>
              <w:bottom w:val="dotted" w:sz="4" w:space="0" w:color="auto"/>
            </w:tcBorders>
          </w:tcPr>
          <w:p w:rsidR="00D7257A" w:rsidRPr="00A22E25" w:rsidRDefault="00D7257A" w:rsidP="00306013">
            <w:pPr>
              <w:jc w:val="left"/>
              <w:rPr>
                <w:rFonts w:eastAsia="Arial Unicode MS" w:cs="Arial"/>
                <w:lang w:val="nl-BE"/>
              </w:rPr>
            </w:pPr>
            <w:r>
              <w:rPr>
                <w:rFonts w:eastAsia="Arial" w:cs="Arial"/>
                <w:szCs w:val="20"/>
                <w:bdr w:val="nil"/>
                <w:lang w:val="nl-BE"/>
              </w:rPr>
              <w:t>realisatie van informatiedragers voor de promotie van de export</w:t>
            </w:r>
          </w:p>
        </w:tc>
        <w:tc>
          <w:tcPr>
            <w:tcW w:w="1312" w:type="dxa"/>
            <w:tcBorders>
              <w:top w:val="dotted" w:sz="4" w:space="0" w:color="auto"/>
              <w:bottom w:val="dotted" w:sz="4" w:space="0" w:color="auto"/>
            </w:tcBorders>
            <w:shd w:val="clear" w:color="auto" w:fill="auto"/>
          </w:tcPr>
          <w:p w:rsidR="00D7257A" w:rsidRPr="00262071" w:rsidRDefault="00D7257A" w:rsidP="00306013">
            <w:pPr>
              <w:jc w:val="center"/>
              <w:rPr>
                <w:rFonts w:eastAsia="Arial Unicode MS" w:cs="Arial"/>
              </w:rPr>
            </w:pPr>
            <w:r>
              <w:rPr>
                <w:rFonts w:eastAsia="Arial Unicode MS" w:cs="Arial"/>
              </w:rPr>
              <w:t>257</w:t>
            </w:r>
          </w:p>
        </w:tc>
        <w:tc>
          <w:tcPr>
            <w:tcW w:w="1454" w:type="dxa"/>
            <w:tcBorders>
              <w:top w:val="dotted" w:sz="4" w:space="0" w:color="auto"/>
              <w:bottom w:val="dotted" w:sz="4" w:space="0" w:color="auto"/>
            </w:tcBorders>
            <w:shd w:val="clear" w:color="auto" w:fill="auto"/>
          </w:tcPr>
          <w:p w:rsidR="00D7257A" w:rsidRPr="00262071" w:rsidRDefault="00D7257A" w:rsidP="00306013">
            <w:pPr>
              <w:jc w:val="center"/>
              <w:rPr>
                <w:rFonts w:eastAsia="Arial Unicode MS" w:cs="Arial"/>
              </w:rPr>
            </w:pPr>
            <w:r>
              <w:rPr>
                <w:rFonts w:eastAsia="Arial Unicode MS" w:cs="Arial"/>
              </w:rPr>
              <w:t>249</w:t>
            </w:r>
          </w:p>
        </w:tc>
        <w:tc>
          <w:tcPr>
            <w:tcW w:w="1521" w:type="dxa"/>
            <w:tcBorders>
              <w:top w:val="dotted" w:sz="4" w:space="0" w:color="auto"/>
              <w:bottom w:val="dotted" w:sz="4" w:space="0" w:color="auto"/>
            </w:tcBorders>
          </w:tcPr>
          <w:p w:rsidR="00D7257A" w:rsidRPr="00262071" w:rsidRDefault="00D7257A" w:rsidP="00306013">
            <w:pPr>
              <w:jc w:val="center"/>
              <w:rPr>
                <w:rFonts w:eastAsia="Arial Unicode MS" w:cs="Arial"/>
              </w:rPr>
            </w:pPr>
            <w:r>
              <w:rPr>
                <w:rFonts w:eastAsia="Arial Unicode MS" w:cs="Arial"/>
              </w:rPr>
              <w:t>206</w:t>
            </w:r>
          </w:p>
        </w:tc>
        <w:tc>
          <w:tcPr>
            <w:tcW w:w="1156" w:type="dxa"/>
            <w:tcBorders>
              <w:top w:val="dotted" w:sz="4" w:space="0" w:color="auto"/>
              <w:bottom w:val="dotted" w:sz="4" w:space="0" w:color="auto"/>
            </w:tcBorders>
          </w:tcPr>
          <w:p w:rsidR="00D7257A" w:rsidRPr="00262071" w:rsidRDefault="00D7257A" w:rsidP="00306013">
            <w:pPr>
              <w:jc w:val="center"/>
              <w:rPr>
                <w:rFonts w:eastAsia="Arial Unicode MS" w:cs="Arial"/>
              </w:rPr>
            </w:pPr>
            <w:r>
              <w:rPr>
                <w:rFonts w:eastAsia="Arial Unicode MS" w:cs="Arial"/>
              </w:rPr>
              <w:t>43</w:t>
            </w:r>
          </w:p>
        </w:tc>
        <w:tc>
          <w:tcPr>
            <w:tcW w:w="1276" w:type="dxa"/>
            <w:tcBorders>
              <w:top w:val="dotted" w:sz="4" w:space="0" w:color="auto"/>
              <w:bottom w:val="dotted" w:sz="4" w:space="0" w:color="auto"/>
            </w:tcBorders>
            <w:shd w:val="clear" w:color="auto" w:fill="auto"/>
          </w:tcPr>
          <w:p w:rsidR="00D7257A" w:rsidRPr="00262071" w:rsidRDefault="00D7257A" w:rsidP="00306013">
            <w:pPr>
              <w:jc w:val="right"/>
              <w:rPr>
                <w:rFonts w:eastAsia="Arial Unicode MS" w:cs="Arial"/>
              </w:rPr>
            </w:pPr>
            <w:r>
              <w:rPr>
                <w:rFonts w:eastAsia="Arial Unicode MS" w:cs="Arial"/>
              </w:rPr>
              <w:t>661.553</w:t>
            </w:r>
          </w:p>
        </w:tc>
      </w:tr>
      <w:tr w:rsidR="00D7257A" w:rsidTr="00306013">
        <w:tc>
          <w:tcPr>
            <w:tcW w:w="3279" w:type="dxa"/>
            <w:tcBorders>
              <w:top w:val="dotted" w:sz="4" w:space="0" w:color="auto"/>
              <w:bottom w:val="dotted" w:sz="4" w:space="0" w:color="auto"/>
            </w:tcBorders>
          </w:tcPr>
          <w:p w:rsidR="00D7257A" w:rsidRPr="00A22E25" w:rsidRDefault="00D7257A" w:rsidP="00306013">
            <w:pPr>
              <w:jc w:val="left"/>
              <w:rPr>
                <w:rFonts w:eastAsia="Arial Unicode MS" w:cs="Arial"/>
                <w:lang w:val="nl-BE"/>
              </w:rPr>
            </w:pPr>
            <w:r>
              <w:rPr>
                <w:rFonts w:eastAsia="Arial" w:cs="Arial"/>
                <w:szCs w:val="20"/>
                <w:bdr w:val="nil"/>
                <w:lang w:val="nl-BE"/>
              </w:rPr>
              <w:t>handelsprospectie van de markten buiten de Europese Unie</w:t>
            </w:r>
          </w:p>
        </w:tc>
        <w:tc>
          <w:tcPr>
            <w:tcW w:w="1312" w:type="dxa"/>
            <w:tcBorders>
              <w:top w:val="dotted" w:sz="4" w:space="0" w:color="auto"/>
              <w:bottom w:val="dotted" w:sz="4" w:space="0" w:color="auto"/>
            </w:tcBorders>
            <w:shd w:val="clear" w:color="auto" w:fill="auto"/>
          </w:tcPr>
          <w:p w:rsidR="00D7257A" w:rsidRPr="00262071" w:rsidRDefault="00D7257A" w:rsidP="00306013">
            <w:pPr>
              <w:jc w:val="center"/>
              <w:rPr>
                <w:rFonts w:eastAsia="Arial Unicode MS" w:cs="Arial"/>
              </w:rPr>
            </w:pPr>
            <w:r>
              <w:rPr>
                <w:rFonts w:eastAsia="Arial Unicode MS" w:cs="Arial"/>
              </w:rPr>
              <w:t>318</w:t>
            </w:r>
          </w:p>
        </w:tc>
        <w:tc>
          <w:tcPr>
            <w:tcW w:w="1454" w:type="dxa"/>
            <w:tcBorders>
              <w:top w:val="dotted" w:sz="4" w:space="0" w:color="auto"/>
              <w:bottom w:val="dotted" w:sz="4" w:space="0" w:color="auto"/>
            </w:tcBorders>
            <w:shd w:val="clear" w:color="auto" w:fill="auto"/>
          </w:tcPr>
          <w:p w:rsidR="00D7257A" w:rsidRPr="00262071" w:rsidRDefault="00D7257A" w:rsidP="00306013">
            <w:pPr>
              <w:jc w:val="center"/>
              <w:rPr>
                <w:rFonts w:eastAsia="Arial Unicode MS" w:cs="Arial"/>
              </w:rPr>
            </w:pPr>
            <w:r>
              <w:rPr>
                <w:rFonts w:eastAsia="Arial Unicode MS" w:cs="Arial"/>
              </w:rPr>
              <w:t>305</w:t>
            </w:r>
          </w:p>
        </w:tc>
        <w:tc>
          <w:tcPr>
            <w:tcW w:w="1521" w:type="dxa"/>
            <w:tcBorders>
              <w:top w:val="dotted" w:sz="4" w:space="0" w:color="auto"/>
              <w:bottom w:val="dotted" w:sz="4" w:space="0" w:color="auto"/>
            </w:tcBorders>
          </w:tcPr>
          <w:p w:rsidR="00D7257A" w:rsidRPr="00262071" w:rsidRDefault="00D7257A" w:rsidP="00306013">
            <w:pPr>
              <w:jc w:val="center"/>
              <w:rPr>
                <w:rFonts w:eastAsia="Arial Unicode MS" w:cs="Arial"/>
              </w:rPr>
            </w:pPr>
            <w:r>
              <w:rPr>
                <w:rFonts w:eastAsia="Arial Unicode MS" w:cs="Arial"/>
              </w:rPr>
              <w:t>209</w:t>
            </w:r>
          </w:p>
        </w:tc>
        <w:tc>
          <w:tcPr>
            <w:tcW w:w="1156" w:type="dxa"/>
            <w:tcBorders>
              <w:top w:val="dotted" w:sz="4" w:space="0" w:color="auto"/>
              <w:bottom w:val="dotted" w:sz="4" w:space="0" w:color="auto"/>
            </w:tcBorders>
          </w:tcPr>
          <w:p w:rsidR="00D7257A" w:rsidRPr="00262071" w:rsidRDefault="00D7257A" w:rsidP="00306013">
            <w:pPr>
              <w:jc w:val="center"/>
              <w:rPr>
                <w:rFonts w:eastAsia="Arial Unicode MS" w:cs="Arial"/>
              </w:rPr>
            </w:pPr>
            <w:r>
              <w:rPr>
                <w:rFonts w:eastAsia="Arial Unicode MS" w:cs="Arial"/>
              </w:rPr>
              <w:t>96</w:t>
            </w:r>
          </w:p>
        </w:tc>
        <w:tc>
          <w:tcPr>
            <w:tcW w:w="1276" w:type="dxa"/>
            <w:tcBorders>
              <w:top w:val="dotted" w:sz="4" w:space="0" w:color="auto"/>
              <w:bottom w:val="dotted" w:sz="4" w:space="0" w:color="auto"/>
            </w:tcBorders>
            <w:shd w:val="clear" w:color="auto" w:fill="auto"/>
          </w:tcPr>
          <w:p w:rsidR="00D7257A" w:rsidRPr="00262071" w:rsidRDefault="00D7257A" w:rsidP="00306013">
            <w:pPr>
              <w:jc w:val="right"/>
              <w:rPr>
                <w:rFonts w:eastAsia="Arial Unicode MS" w:cs="Arial"/>
              </w:rPr>
            </w:pPr>
            <w:r>
              <w:rPr>
                <w:rFonts w:eastAsia="Arial Unicode MS" w:cs="Arial"/>
              </w:rPr>
              <w:t>469.829</w:t>
            </w:r>
          </w:p>
        </w:tc>
      </w:tr>
      <w:tr w:rsidR="00D7257A" w:rsidTr="00306013">
        <w:tc>
          <w:tcPr>
            <w:tcW w:w="3279" w:type="dxa"/>
            <w:tcBorders>
              <w:top w:val="dotted" w:sz="4" w:space="0" w:color="auto"/>
              <w:bottom w:val="dotted" w:sz="4" w:space="0" w:color="auto"/>
            </w:tcBorders>
          </w:tcPr>
          <w:p w:rsidR="00D7257A" w:rsidRPr="00A22E25" w:rsidRDefault="00D7257A" w:rsidP="00306013">
            <w:pPr>
              <w:jc w:val="left"/>
              <w:rPr>
                <w:rFonts w:eastAsia="Arial Unicode MS" w:cs="Arial"/>
                <w:lang w:val="nl-BE"/>
              </w:rPr>
            </w:pPr>
            <w:r>
              <w:rPr>
                <w:rFonts w:eastAsia="Arial" w:cs="Arial"/>
                <w:szCs w:val="20"/>
                <w:bdr w:val="nil"/>
                <w:lang w:val="nl-BE"/>
              </w:rPr>
              <w:t>deelname aan internationale beurzen in het buitenland</w:t>
            </w:r>
          </w:p>
        </w:tc>
        <w:tc>
          <w:tcPr>
            <w:tcW w:w="1312" w:type="dxa"/>
            <w:tcBorders>
              <w:top w:val="dotted" w:sz="4" w:space="0" w:color="auto"/>
              <w:bottom w:val="dotted" w:sz="4" w:space="0" w:color="auto"/>
            </w:tcBorders>
            <w:shd w:val="clear" w:color="auto" w:fill="auto"/>
          </w:tcPr>
          <w:p w:rsidR="00D7257A" w:rsidRPr="00262071" w:rsidRDefault="00D7257A" w:rsidP="00306013">
            <w:pPr>
              <w:jc w:val="center"/>
              <w:rPr>
                <w:rFonts w:eastAsia="Arial Unicode MS" w:cs="Arial"/>
              </w:rPr>
            </w:pPr>
            <w:r>
              <w:rPr>
                <w:rFonts w:eastAsia="Arial Unicode MS" w:cs="Arial"/>
              </w:rPr>
              <w:t>627</w:t>
            </w:r>
          </w:p>
        </w:tc>
        <w:tc>
          <w:tcPr>
            <w:tcW w:w="1454" w:type="dxa"/>
            <w:tcBorders>
              <w:top w:val="dotted" w:sz="4" w:space="0" w:color="auto"/>
              <w:bottom w:val="dotted" w:sz="4" w:space="0" w:color="auto"/>
            </w:tcBorders>
            <w:shd w:val="clear" w:color="auto" w:fill="auto"/>
          </w:tcPr>
          <w:p w:rsidR="00D7257A" w:rsidRPr="00262071" w:rsidRDefault="00D7257A" w:rsidP="00306013">
            <w:pPr>
              <w:jc w:val="center"/>
              <w:rPr>
                <w:rFonts w:eastAsia="Arial Unicode MS" w:cs="Arial"/>
              </w:rPr>
            </w:pPr>
            <w:r>
              <w:rPr>
                <w:rFonts w:eastAsia="Arial Unicode MS" w:cs="Arial"/>
              </w:rPr>
              <w:t>539</w:t>
            </w:r>
          </w:p>
        </w:tc>
        <w:tc>
          <w:tcPr>
            <w:tcW w:w="1521" w:type="dxa"/>
            <w:tcBorders>
              <w:top w:val="dotted" w:sz="4" w:space="0" w:color="auto"/>
              <w:bottom w:val="dotted" w:sz="4" w:space="0" w:color="auto"/>
            </w:tcBorders>
          </w:tcPr>
          <w:p w:rsidR="00D7257A" w:rsidRPr="00262071" w:rsidRDefault="00D7257A" w:rsidP="00306013">
            <w:pPr>
              <w:jc w:val="center"/>
              <w:rPr>
                <w:rFonts w:eastAsia="Arial Unicode MS" w:cs="Arial"/>
              </w:rPr>
            </w:pPr>
            <w:r>
              <w:rPr>
                <w:rFonts w:eastAsia="Arial Unicode MS" w:cs="Arial"/>
              </w:rPr>
              <w:t>475</w:t>
            </w:r>
          </w:p>
        </w:tc>
        <w:tc>
          <w:tcPr>
            <w:tcW w:w="1156" w:type="dxa"/>
            <w:tcBorders>
              <w:top w:val="dotted" w:sz="4" w:space="0" w:color="auto"/>
              <w:bottom w:val="dotted" w:sz="4" w:space="0" w:color="auto"/>
            </w:tcBorders>
          </w:tcPr>
          <w:p w:rsidR="00D7257A" w:rsidRPr="00262071" w:rsidRDefault="00D7257A" w:rsidP="00306013">
            <w:pPr>
              <w:jc w:val="center"/>
              <w:rPr>
                <w:rFonts w:eastAsia="Arial Unicode MS" w:cs="Arial"/>
              </w:rPr>
            </w:pPr>
            <w:r>
              <w:rPr>
                <w:rFonts w:eastAsia="Arial Unicode MS" w:cs="Arial"/>
              </w:rPr>
              <w:t>64</w:t>
            </w:r>
          </w:p>
        </w:tc>
        <w:tc>
          <w:tcPr>
            <w:tcW w:w="1276" w:type="dxa"/>
            <w:tcBorders>
              <w:top w:val="dotted" w:sz="4" w:space="0" w:color="auto"/>
              <w:bottom w:val="dotted" w:sz="4" w:space="0" w:color="auto"/>
            </w:tcBorders>
            <w:shd w:val="clear" w:color="auto" w:fill="auto"/>
          </w:tcPr>
          <w:p w:rsidR="00D7257A" w:rsidRPr="00262071" w:rsidRDefault="00D7257A" w:rsidP="00306013">
            <w:pPr>
              <w:jc w:val="right"/>
              <w:rPr>
                <w:rFonts w:eastAsia="Arial Unicode MS" w:cs="Arial"/>
              </w:rPr>
            </w:pPr>
            <w:r>
              <w:rPr>
                <w:rFonts w:eastAsia="Arial Unicode MS" w:cs="Arial"/>
              </w:rPr>
              <w:t>1.510.779</w:t>
            </w:r>
          </w:p>
        </w:tc>
      </w:tr>
      <w:tr w:rsidR="00D7257A" w:rsidTr="00306013">
        <w:tc>
          <w:tcPr>
            <w:tcW w:w="3279" w:type="dxa"/>
            <w:tcBorders>
              <w:top w:val="dotted" w:sz="4" w:space="0" w:color="auto"/>
              <w:bottom w:val="dotted" w:sz="4" w:space="0" w:color="auto"/>
            </w:tcBorders>
          </w:tcPr>
          <w:p w:rsidR="00D7257A" w:rsidRPr="00A22E25" w:rsidRDefault="00D7257A" w:rsidP="00306013">
            <w:pPr>
              <w:jc w:val="left"/>
              <w:rPr>
                <w:rFonts w:eastAsia="Arial Unicode MS" w:cs="Arial"/>
                <w:lang w:val="nl-BE"/>
              </w:rPr>
            </w:pPr>
            <w:r>
              <w:rPr>
                <w:rFonts w:eastAsia="Arial" w:cs="Arial"/>
                <w:szCs w:val="20"/>
                <w:bdr w:val="nil"/>
                <w:lang w:val="nl-BE"/>
              </w:rPr>
              <w:t xml:space="preserve">deelname aan offerteoproepen voor opdrachten buiten de Europese Unie </w:t>
            </w:r>
          </w:p>
        </w:tc>
        <w:tc>
          <w:tcPr>
            <w:tcW w:w="1312" w:type="dxa"/>
            <w:tcBorders>
              <w:top w:val="dotted" w:sz="4" w:space="0" w:color="auto"/>
              <w:bottom w:val="dotted" w:sz="4" w:space="0" w:color="auto"/>
            </w:tcBorders>
            <w:shd w:val="clear" w:color="auto" w:fill="auto"/>
          </w:tcPr>
          <w:p w:rsidR="00D7257A" w:rsidRPr="00262071" w:rsidRDefault="00D7257A" w:rsidP="00306013">
            <w:pPr>
              <w:jc w:val="center"/>
              <w:rPr>
                <w:rFonts w:eastAsia="Arial Unicode MS" w:cs="Arial"/>
              </w:rPr>
            </w:pPr>
            <w:r>
              <w:rPr>
                <w:rFonts w:eastAsia="Arial Unicode MS" w:cs="Arial"/>
              </w:rPr>
              <w:t>8</w:t>
            </w:r>
          </w:p>
        </w:tc>
        <w:tc>
          <w:tcPr>
            <w:tcW w:w="1454" w:type="dxa"/>
            <w:tcBorders>
              <w:top w:val="dotted" w:sz="4" w:space="0" w:color="auto"/>
              <w:bottom w:val="dotted" w:sz="4" w:space="0" w:color="auto"/>
            </w:tcBorders>
            <w:shd w:val="clear" w:color="auto" w:fill="auto"/>
          </w:tcPr>
          <w:p w:rsidR="00D7257A" w:rsidRPr="00262071" w:rsidRDefault="00D7257A" w:rsidP="00306013">
            <w:pPr>
              <w:jc w:val="center"/>
              <w:rPr>
                <w:rFonts w:eastAsia="Arial Unicode MS" w:cs="Arial"/>
              </w:rPr>
            </w:pPr>
            <w:r>
              <w:rPr>
                <w:rFonts w:eastAsia="Arial Unicode MS" w:cs="Arial"/>
              </w:rPr>
              <w:t>7</w:t>
            </w:r>
          </w:p>
        </w:tc>
        <w:tc>
          <w:tcPr>
            <w:tcW w:w="1521" w:type="dxa"/>
            <w:tcBorders>
              <w:top w:val="dotted" w:sz="4" w:space="0" w:color="auto"/>
              <w:bottom w:val="dotted" w:sz="4" w:space="0" w:color="auto"/>
            </w:tcBorders>
          </w:tcPr>
          <w:p w:rsidR="00D7257A" w:rsidRPr="00262071" w:rsidRDefault="00D7257A" w:rsidP="00306013">
            <w:pPr>
              <w:jc w:val="center"/>
              <w:rPr>
                <w:rFonts w:eastAsia="Arial Unicode MS" w:cs="Arial"/>
              </w:rPr>
            </w:pPr>
            <w:r>
              <w:rPr>
                <w:rFonts w:eastAsia="Arial Unicode MS" w:cs="Arial"/>
              </w:rPr>
              <w:t>6</w:t>
            </w:r>
          </w:p>
        </w:tc>
        <w:tc>
          <w:tcPr>
            <w:tcW w:w="1156" w:type="dxa"/>
            <w:tcBorders>
              <w:top w:val="dotted" w:sz="4" w:space="0" w:color="auto"/>
              <w:bottom w:val="dotted" w:sz="4" w:space="0" w:color="auto"/>
            </w:tcBorders>
          </w:tcPr>
          <w:p w:rsidR="00D7257A" w:rsidRPr="00262071" w:rsidRDefault="00D7257A" w:rsidP="00306013">
            <w:pPr>
              <w:jc w:val="center"/>
              <w:rPr>
                <w:rFonts w:eastAsia="Arial Unicode MS" w:cs="Arial"/>
              </w:rPr>
            </w:pPr>
            <w:r>
              <w:rPr>
                <w:rFonts w:eastAsia="Arial Unicode MS" w:cs="Arial"/>
              </w:rPr>
              <w:t>1</w:t>
            </w:r>
          </w:p>
        </w:tc>
        <w:tc>
          <w:tcPr>
            <w:tcW w:w="1276" w:type="dxa"/>
            <w:tcBorders>
              <w:top w:val="dotted" w:sz="4" w:space="0" w:color="auto"/>
              <w:bottom w:val="dotted" w:sz="4" w:space="0" w:color="auto"/>
            </w:tcBorders>
            <w:shd w:val="clear" w:color="auto" w:fill="auto"/>
          </w:tcPr>
          <w:p w:rsidR="00D7257A" w:rsidRPr="00262071" w:rsidRDefault="00D7257A" w:rsidP="00306013">
            <w:pPr>
              <w:jc w:val="right"/>
              <w:rPr>
                <w:rFonts w:eastAsia="Arial Unicode MS" w:cs="Arial"/>
              </w:rPr>
            </w:pPr>
            <w:r>
              <w:rPr>
                <w:rFonts w:eastAsia="Arial Unicode MS" w:cs="Arial"/>
              </w:rPr>
              <w:t>27.283</w:t>
            </w:r>
          </w:p>
        </w:tc>
      </w:tr>
      <w:tr w:rsidR="00D7257A" w:rsidTr="00306013">
        <w:tc>
          <w:tcPr>
            <w:tcW w:w="3279" w:type="dxa"/>
            <w:tcBorders>
              <w:top w:val="dotted" w:sz="4" w:space="0" w:color="auto"/>
              <w:bottom w:val="dotted" w:sz="4" w:space="0" w:color="auto"/>
            </w:tcBorders>
          </w:tcPr>
          <w:p w:rsidR="00D7257A" w:rsidRPr="00A22E25" w:rsidRDefault="00D7257A" w:rsidP="00306013">
            <w:pPr>
              <w:jc w:val="left"/>
              <w:rPr>
                <w:rFonts w:eastAsia="Arial Unicode MS" w:cs="Arial"/>
                <w:lang w:val="nl-BE"/>
              </w:rPr>
            </w:pPr>
            <w:r>
              <w:rPr>
                <w:rFonts w:eastAsia="Arial" w:cs="Arial"/>
                <w:szCs w:val="20"/>
                <w:bdr w:val="nil"/>
                <w:lang w:val="nl-BE"/>
              </w:rPr>
              <w:t>opening van vertegenwoordigingskantoren buiten de Europese Unie</w:t>
            </w:r>
          </w:p>
        </w:tc>
        <w:tc>
          <w:tcPr>
            <w:tcW w:w="1312" w:type="dxa"/>
            <w:tcBorders>
              <w:top w:val="dotted" w:sz="4" w:space="0" w:color="auto"/>
              <w:bottom w:val="dotted" w:sz="4" w:space="0" w:color="auto"/>
            </w:tcBorders>
            <w:shd w:val="clear" w:color="auto" w:fill="auto"/>
          </w:tcPr>
          <w:p w:rsidR="00D7257A" w:rsidRPr="00262071" w:rsidRDefault="00D7257A" w:rsidP="00306013">
            <w:pPr>
              <w:jc w:val="center"/>
              <w:rPr>
                <w:rFonts w:eastAsia="Arial Unicode MS" w:cs="Arial"/>
              </w:rPr>
            </w:pPr>
            <w:r>
              <w:rPr>
                <w:rFonts w:eastAsia="Arial Unicode MS" w:cs="Arial"/>
              </w:rPr>
              <w:t>2</w:t>
            </w:r>
          </w:p>
        </w:tc>
        <w:tc>
          <w:tcPr>
            <w:tcW w:w="1454" w:type="dxa"/>
            <w:tcBorders>
              <w:top w:val="dotted" w:sz="4" w:space="0" w:color="auto"/>
              <w:bottom w:val="dotted" w:sz="4" w:space="0" w:color="auto"/>
            </w:tcBorders>
            <w:shd w:val="clear" w:color="auto" w:fill="auto"/>
          </w:tcPr>
          <w:p w:rsidR="00D7257A" w:rsidRPr="00262071" w:rsidRDefault="00D7257A" w:rsidP="00306013">
            <w:pPr>
              <w:jc w:val="center"/>
              <w:rPr>
                <w:rFonts w:eastAsia="Arial Unicode MS" w:cs="Arial"/>
              </w:rPr>
            </w:pPr>
            <w:r>
              <w:rPr>
                <w:rFonts w:eastAsia="Arial Unicode MS" w:cs="Arial"/>
              </w:rPr>
              <w:t>0</w:t>
            </w:r>
          </w:p>
        </w:tc>
        <w:tc>
          <w:tcPr>
            <w:tcW w:w="1521" w:type="dxa"/>
            <w:tcBorders>
              <w:top w:val="dotted" w:sz="4" w:space="0" w:color="auto"/>
              <w:bottom w:val="dotted" w:sz="4" w:space="0" w:color="auto"/>
            </w:tcBorders>
          </w:tcPr>
          <w:p w:rsidR="00D7257A" w:rsidRPr="00262071" w:rsidRDefault="00D7257A" w:rsidP="00306013">
            <w:pPr>
              <w:jc w:val="center"/>
              <w:rPr>
                <w:rFonts w:eastAsia="Arial Unicode MS" w:cs="Arial"/>
              </w:rPr>
            </w:pPr>
            <w:r>
              <w:rPr>
                <w:rFonts w:eastAsia="Arial Unicode MS" w:cs="Arial"/>
              </w:rPr>
              <w:t>0</w:t>
            </w:r>
          </w:p>
        </w:tc>
        <w:tc>
          <w:tcPr>
            <w:tcW w:w="1156" w:type="dxa"/>
            <w:tcBorders>
              <w:top w:val="dotted" w:sz="4" w:space="0" w:color="auto"/>
              <w:bottom w:val="dotted" w:sz="4" w:space="0" w:color="auto"/>
            </w:tcBorders>
          </w:tcPr>
          <w:p w:rsidR="00D7257A" w:rsidRPr="00262071" w:rsidRDefault="00D7257A" w:rsidP="00306013">
            <w:pPr>
              <w:jc w:val="center"/>
              <w:rPr>
                <w:rFonts w:eastAsia="Arial Unicode MS" w:cs="Arial"/>
              </w:rPr>
            </w:pPr>
            <w:r>
              <w:rPr>
                <w:rFonts w:eastAsia="Arial Unicode MS" w:cs="Arial"/>
              </w:rPr>
              <w:t>0</w:t>
            </w:r>
          </w:p>
        </w:tc>
        <w:tc>
          <w:tcPr>
            <w:tcW w:w="1276" w:type="dxa"/>
            <w:tcBorders>
              <w:top w:val="dotted" w:sz="4" w:space="0" w:color="auto"/>
              <w:bottom w:val="dotted" w:sz="4" w:space="0" w:color="auto"/>
            </w:tcBorders>
            <w:shd w:val="clear" w:color="auto" w:fill="auto"/>
          </w:tcPr>
          <w:p w:rsidR="00D7257A" w:rsidRPr="00262071" w:rsidRDefault="00D7257A" w:rsidP="00306013">
            <w:pPr>
              <w:jc w:val="right"/>
              <w:rPr>
                <w:rFonts w:eastAsia="Arial Unicode MS" w:cs="Arial"/>
              </w:rPr>
            </w:pPr>
            <w:r>
              <w:rPr>
                <w:rFonts w:eastAsia="Arial Unicode MS" w:cs="Arial"/>
              </w:rPr>
              <w:t>0</w:t>
            </w:r>
          </w:p>
        </w:tc>
      </w:tr>
      <w:tr w:rsidR="00D7257A" w:rsidTr="00306013">
        <w:tc>
          <w:tcPr>
            <w:tcW w:w="3279" w:type="dxa"/>
            <w:tcBorders>
              <w:top w:val="single" w:sz="18" w:space="0" w:color="auto"/>
              <w:bottom w:val="single" w:sz="18" w:space="0" w:color="auto"/>
            </w:tcBorders>
          </w:tcPr>
          <w:p w:rsidR="00D7257A" w:rsidRPr="00262071" w:rsidRDefault="00D7257A" w:rsidP="00306013">
            <w:pPr>
              <w:rPr>
                <w:rFonts w:eastAsia="Arial Unicode MS" w:cs="Arial"/>
                <w:bCs/>
              </w:rPr>
            </w:pPr>
            <w:r>
              <w:rPr>
                <w:rFonts w:eastAsia="Arial" w:cs="Arial"/>
                <w:bCs/>
                <w:szCs w:val="20"/>
                <w:bdr w:val="nil"/>
                <w:lang w:val="nl-BE"/>
              </w:rPr>
              <w:t>TOTAAL</w:t>
            </w:r>
          </w:p>
        </w:tc>
        <w:tc>
          <w:tcPr>
            <w:tcW w:w="1312" w:type="dxa"/>
            <w:tcBorders>
              <w:top w:val="single" w:sz="18" w:space="0" w:color="auto"/>
              <w:bottom w:val="single" w:sz="18" w:space="0" w:color="auto"/>
            </w:tcBorders>
            <w:shd w:val="clear" w:color="auto" w:fill="auto"/>
          </w:tcPr>
          <w:p w:rsidR="00D7257A" w:rsidRPr="00262071" w:rsidRDefault="00D7257A" w:rsidP="00306013">
            <w:pPr>
              <w:jc w:val="center"/>
              <w:rPr>
                <w:rFonts w:eastAsia="Arial Unicode MS" w:cs="Arial"/>
                <w:bCs/>
              </w:rPr>
            </w:pPr>
            <w:r>
              <w:rPr>
                <w:rFonts w:eastAsia="Arial Unicode MS" w:cs="Arial"/>
                <w:bCs/>
              </w:rPr>
              <w:t>1.212</w:t>
            </w:r>
          </w:p>
        </w:tc>
        <w:tc>
          <w:tcPr>
            <w:tcW w:w="1454" w:type="dxa"/>
            <w:tcBorders>
              <w:top w:val="single" w:sz="18" w:space="0" w:color="auto"/>
              <w:bottom w:val="single" w:sz="18" w:space="0" w:color="auto"/>
            </w:tcBorders>
            <w:shd w:val="clear" w:color="auto" w:fill="auto"/>
          </w:tcPr>
          <w:p w:rsidR="00D7257A" w:rsidRPr="00262071" w:rsidRDefault="00D7257A" w:rsidP="00306013">
            <w:pPr>
              <w:jc w:val="center"/>
              <w:rPr>
                <w:rFonts w:eastAsia="Arial Unicode MS" w:cs="Arial"/>
                <w:bCs/>
              </w:rPr>
            </w:pPr>
            <w:r>
              <w:rPr>
                <w:rFonts w:eastAsia="Arial Unicode MS" w:cs="Arial"/>
                <w:bCs/>
              </w:rPr>
              <w:t>1.100</w:t>
            </w:r>
          </w:p>
        </w:tc>
        <w:tc>
          <w:tcPr>
            <w:tcW w:w="1521" w:type="dxa"/>
            <w:tcBorders>
              <w:top w:val="single" w:sz="18" w:space="0" w:color="auto"/>
              <w:bottom w:val="single" w:sz="18" w:space="0" w:color="auto"/>
            </w:tcBorders>
          </w:tcPr>
          <w:p w:rsidR="00D7257A" w:rsidRPr="00262071" w:rsidRDefault="00D7257A" w:rsidP="00306013">
            <w:pPr>
              <w:jc w:val="center"/>
              <w:rPr>
                <w:rFonts w:eastAsia="Arial Unicode MS" w:cs="Arial"/>
                <w:bCs/>
              </w:rPr>
            </w:pPr>
            <w:r>
              <w:rPr>
                <w:rFonts w:eastAsia="Arial Unicode MS" w:cs="Arial"/>
                <w:bCs/>
              </w:rPr>
              <w:t>896</w:t>
            </w:r>
          </w:p>
        </w:tc>
        <w:tc>
          <w:tcPr>
            <w:tcW w:w="1156" w:type="dxa"/>
            <w:tcBorders>
              <w:top w:val="single" w:sz="18" w:space="0" w:color="auto"/>
              <w:bottom w:val="single" w:sz="18" w:space="0" w:color="auto"/>
            </w:tcBorders>
          </w:tcPr>
          <w:p w:rsidR="00D7257A" w:rsidRPr="00262071" w:rsidRDefault="00D7257A" w:rsidP="00306013">
            <w:pPr>
              <w:jc w:val="center"/>
              <w:rPr>
                <w:rFonts w:eastAsia="Arial Unicode MS" w:cs="Arial"/>
                <w:bCs/>
              </w:rPr>
            </w:pPr>
            <w:r>
              <w:rPr>
                <w:rFonts w:eastAsia="Arial Unicode MS" w:cs="Arial"/>
                <w:bCs/>
              </w:rPr>
              <w:t>204</w:t>
            </w:r>
          </w:p>
        </w:tc>
        <w:tc>
          <w:tcPr>
            <w:tcW w:w="1276" w:type="dxa"/>
            <w:tcBorders>
              <w:top w:val="single" w:sz="18" w:space="0" w:color="auto"/>
              <w:bottom w:val="single" w:sz="18" w:space="0" w:color="auto"/>
            </w:tcBorders>
            <w:shd w:val="clear" w:color="auto" w:fill="auto"/>
          </w:tcPr>
          <w:p w:rsidR="00D7257A" w:rsidRPr="00262071" w:rsidRDefault="00D7257A" w:rsidP="00306013">
            <w:pPr>
              <w:jc w:val="center"/>
              <w:rPr>
                <w:rFonts w:eastAsia="Arial Unicode MS" w:cs="Arial"/>
                <w:bCs/>
              </w:rPr>
            </w:pPr>
            <w:r>
              <w:rPr>
                <w:rFonts w:eastAsia="Arial Unicode MS" w:cs="Arial"/>
                <w:bCs/>
              </w:rPr>
              <w:t>2.669.444</w:t>
            </w:r>
          </w:p>
        </w:tc>
      </w:tr>
    </w:tbl>
    <w:p w:rsidR="00D7257A" w:rsidRDefault="00D7257A" w:rsidP="00D7257A">
      <w:pPr>
        <w:rPr>
          <w:rFonts w:cs="Arial"/>
        </w:rPr>
      </w:pPr>
    </w:p>
    <w:p w:rsidR="00D7257A" w:rsidRPr="00262071" w:rsidRDefault="00D7257A" w:rsidP="00D7257A">
      <w:pPr>
        <w:rPr>
          <w:rFonts w:cs="Arial"/>
        </w:rPr>
      </w:pPr>
      <w:r>
        <w:rPr>
          <w:rFonts w:cs="Arial"/>
          <w:noProof/>
          <w:lang w:eastAsia="fr-BE"/>
        </w:rPr>
        <w:lastRenderedPageBreak/>
        <w:drawing>
          <wp:inline distT="0" distB="0" distL="0" distR="0" wp14:anchorId="75EA7234" wp14:editId="3E2C267B">
            <wp:extent cx="5162550" cy="1809750"/>
            <wp:effectExtent l="0" t="0" r="0" b="0"/>
            <wp:docPr id="31" name="Graphique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7257A" w:rsidRPr="00262071" w:rsidRDefault="00D7257A" w:rsidP="00D7257A">
      <w:pPr>
        <w:pStyle w:val="Titre3"/>
        <w:numPr>
          <w:ilvl w:val="2"/>
          <w:numId w:val="1"/>
        </w:numPr>
        <w:rPr>
          <w:rFonts w:eastAsia="Arial Unicode MS"/>
        </w:rPr>
      </w:pPr>
      <w:bookmarkStart w:id="37" w:name="_Toc518917057"/>
      <w:r>
        <w:rPr>
          <w:rFonts w:eastAsia="Arial" w:cs="Arial"/>
          <w:szCs w:val="20"/>
          <w:bdr w:val="nil"/>
          <w:lang w:val="nl-BE"/>
        </w:rPr>
        <w:t>Wettelijke basis</w:t>
      </w:r>
      <w:bookmarkEnd w:id="37"/>
    </w:p>
    <w:p w:rsidR="00D7257A" w:rsidRPr="00A22E25" w:rsidRDefault="00D7257A" w:rsidP="00D7257A">
      <w:pPr>
        <w:rPr>
          <w:rFonts w:eastAsia="Arial Unicode MS" w:cs="Arial"/>
          <w:lang w:val="nl-BE"/>
        </w:rPr>
      </w:pPr>
      <w:r>
        <w:rPr>
          <w:rFonts w:eastAsia="Arial" w:cs="Arial"/>
          <w:szCs w:val="20"/>
          <w:bdr w:val="nil"/>
          <w:lang w:val="nl-BE"/>
        </w:rPr>
        <w:t>Ordonnantie van 13 januari 1994 betreffende de bevordering van de buitenlandse handel van het Brussels Hoofdstedelijk Gewest.</w:t>
      </w:r>
    </w:p>
    <w:p w:rsidR="00D7257A" w:rsidRPr="00A22E25" w:rsidRDefault="00D7257A" w:rsidP="00D7257A">
      <w:pPr>
        <w:rPr>
          <w:rFonts w:eastAsia="Arial Unicode MS" w:cs="Arial"/>
          <w:lang w:val="nl-BE"/>
        </w:rPr>
      </w:pPr>
      <w:r>
        <w:rPr>
          <w:rFonts w:eastAsia="Arial" w:cs="Arial"/>
          <w:szCs w:val="20"/>
          <w:bdr w:val="nil"/>
          <w:lang w:val="nl-BE"/>
        </w:rPr>
        <w:t>Besluit van 5 juli 2012 van de Brusselse Hoofdstedelijke Regering houdende uitvoering van voornoemde ordonnantie.</w:t>
      </w:r>
    </w:p>
    <w:p w:rsidR="00D7257A" w:rsidRPr="00262071" w:rsidRDefault="00D7257A" w:rsidP="00D7257A">
      <w:pPr>
        <w:pStyle w:val="Titre3"/>
        <w:numPr>
          <w:ilvl w:val="2"/>
          <w:numId w:val="1"/>
        </w:numPr>
        <w:rPr>
          <w:rFonts w:eastAsia="Arial Unicode MS"/>
        </w:rPr>
      </w:pPr>
      <w:bookmarkStart w:id="38" w:name="_Toc518917058"/>
      <w:r>
        <w:rPr>
          <w:rFonts w:eastAsia="Arial" w:cs="Arial"/>
          <w:szCs w:val="20"/>
          <w:bdr w:val="nil"/>
          <w:lang w:val="nl-BE"/>
        </w:rPr>
        <w:t>Vaststellingen</w:t>
      </w:r>
      <w:bookmarkEnd w:id="38"/>
    </w:p>
    <w:p w:rsidR="00D7257A" w:rsidRPr="00A22E25" w:rsidRDefault="00D7257A" w:rsidP="00D7257A">
      <w:pPr>
        <w:rPr>
          <w:rFonts w:eastAsia="Arial Unicode MS" w:cs="Arial"/>
          <w:lang w:val="nl-BE"/>
        </w:rPr>
      </w:pPr>
      <w:r>
        <w:rPr>
          <w:rFonts w:eastAsia="Arial" w:cs="Arial"/>
          <w:szCs w:val="20"/>
          <w:bdr w:val="nil"/>
          <w:lang w:val="nl-BE"/>
        </w:rPr>
        <w:t>In 2017 is er over 1.100 dossiers een beslissing genomen, waarvan er 896 gunstig waren (82% van de aanvragen).</w:t>
      </w:r>
    </w:p>
    <w:p w:rsidR="00D7257A" w:rsidRPr="00A22E25" w:rsidRDefault="00D7257A" w:rsidP="00D7257A">
      <w:pPr>
        <w:rPr>
          <w:rFonts w:eastAsia="Arial Unicode MS" w:cs="Arial"/>
          <w:lang w:val="nl-BE"/>
        </w:rPr>
      </w:pPr>
      <w:r>
        <w:rPr>
          <w:rFonts w:eastAsia="Arial" w:cs="Arial"/>
          <w:szCs w:val="20"/>
          <w:bdr w:val="nil"/>
          <w:lang w:val="nl-BE"/>
        </w:rPr>
        <w:t>In vergelijking met het vorige jaar merken we een afname van het aantal behandelde dossiers met 8,86% (1.263), die gelijkloopt met de daling van het aantal ingediende dossiers (9,69%). Het weigeringscijfer is dan weer toegenomen, van 13% in 2016 naar 18% in 2017.</w:t>
      </w:r>
    </w:p>
    <w:p w:rsidR="00D7257A" w:rsidRPr="00A22E25" w:rsidRDefault="00D7257A" w:rsidP="00D7257A">
      <w:pPr>
        <w:pStyle w:val="Titre3"/>
        <w:numPr>
          <w:ilvl w:val="2"/>
          <w:numId w:val="1"/>
        </w:numPr>
        <w:rPr>
          <w:rFonts w:eastAsia="Arial Unicode MS"/>
          <w:lang w:val="nl-BE"/>
        </w:rPr>
      </w:pPr>
      <w:bookmarkStart w:id="39" w:name="_Toc518917059"/>
      <w:r>
        <w:rPr>
          <w:rFonts w:eastAsia="Arial" w:cs="Arial"/>
          <w:szCs w:val="20"/>
          <w:bdr w:val="nil"/>
          <w:lang w:val="nl-BE"/>
        </w:rPr>
        <w:t>Opsplitsing van de dossiers volgens de grootte van de onderneming</w:t>
      </w:r>
      <w:bookmarkEnd w:id="39"/>
    </w:p>
    <w:p w:rsidR="00D7257A" w:rsidRPr="00A22E25" w:rsidRDefault="00D7257A" w:rsidP="00D7257A">
      <w:pPr>
        <w:rPr>
          <w:rFonts w:eastAsia="Arial Unicode MS" w:cs="Arial"/>
          <w:lang w:val="nl-BE"/>
        </w:rPr>
      </w:pPr>
      <w:r>
        <w:rPr>
          <w:rFonts w:eastAsia="Arial" w:cs="Arial"/>
          <w:szCs w:val="20"/>
          <w:bdr w:val="nil"/>
          <w:lang w:val="nl-BE"/>
        </w:rPr>
        <w:t xml:space="preserve">       </w:t>
      </w:r>
      <w:r>
        <w:rPr>
          <w:rFonts w:eastAsia="Arial" w:cs="Arial"/>
          <w:szCs w:val="20"/>
          <w:bdr w:val="nil"/>
          <w:lang w:val="nl-BE"/>
        </w:rPr>
        <w:tab/>
        <w:t>(definitie van de grootte: zie bijlage)</w:t>
      </w:r>
    </w:p>
    <w:p w:rsidR="00D7257A" w:rsidRPr="00A22E25" w:rsidRDefault="00D7257A" w:rsidP="00D7257A">
      <w:pPr>
        <w:rPr>
          <w:rFonts w:eastAsia="Arial Unicode MS" w:cs="Arial"/>
          <w:b/>
          <w:u w:val="single"/>
          <w:lang w:val="nl-BE"/>
        </w:rPr>
      </w:pPr>
      <w:r>
        <w:rPr>
          <w:rFonts w:eastAsia="Arial" w:cs="Arial"/>
          <w:szCs w:val="20"/>
          <w:bdr w:val="nil"/>
          <w:lang w:val="nl-BE"/>
        </w:rPr>
        <w:t>De dossiers voor exporttegemoetkomingen worden voornamelijk door micro-ondernemingen ingediend.</w:t>
      </w:r>
    </w:p>
    <w:p w:rsidR="00D7257A" w:rsidRDefault="00D7257A" w:rsidP="00D7257A">
      <w:pPr>
        <w:rPr>
          <w:rFonts w:cs="Arial"/>
        </w:rPr>
      </w:pPr>
      <w:r>
        <w:rPr>
          <w:rFonts w:cs="Arial"/>
          <w:noProof/>
          <w:lang w:eastAsia="fr-BE"/>
        </w:rPr>
        <w:drawing>
          <wp:inline distT="0" distB="0" distL="0" distR="0" wp14:anchorId="3ECD249C" wp14:editId="5F024C09">
            <wp:extent cx="5819775" cy="1485900"/>
            <wp:effectExtent l="0" t="0" r="0" b="0"/>
            <wp:docPr id="30" name="Graphique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7257A" w:rsidRDefault="00D7257A" w:rsidP="00D7257A">
      <w:pPr>
        <w:jc w:val="left"/>
        <w:rPr>
          <w:rFonts w:eastAsia="Arial Unicode MS" w:cstheme="majorBidi"/>
          <w:bCs/>
          <w:color w:val="0A00BE"/>
        </w:rPr>
      </w:pPr>
      <w:r>
        <w:rPr>
          <w:rFonts w:eastAsia="Arial Unicode MS"/>
        </w:rPr>
        <w:br w:type="page"/>
      </w:r>
    </w:p>
    <w:p w:rsidR="00D7257A" w:rsidRPr="00A22E25" w:rsidRDefault="00D7257A" w:rsidP="00D7257A">
      <w:pPr>
        <w:pStyle w:val="Titre3"/>
        <w:numPr>
          <w:ilvl w:val="2"/>
          <w:numId w:val="1"/>
        </w:numPr>
        <w:rPr>
          <w:rFonts w:eastAsia="Arial Unicode MS"/>
          <w:lang w:val="nl-BE"/>
        </w:rPr>
      </w:pPr>
      <w:bookmarkStart w:id="40" w:name="_Toc518917060"/>
      <w:r>
        <w:rPr>
          <w:rFonts w:eastAsia="Arial" w:cs="Arial"/>
          <w:szCs w:val="20"/>
          <w:bdr w:val="nil"/>
          <w:lang w:val="nl-BE"/>
        </w:rPr>
        <w:lastRenderedPageBreak/>
        <w:t>Opsplitsing van de toegekende premies volgens de activiteitensector (NACEBEL)</w:t>
      </w:r>
      <w:bookmarkEnd w:id="40"/>
    </w:p>
    <w:p w:rsidR="00D7257A" w:rsidRPr="00A22E25" w:rsidRDefault="00D7257A" w:rsidP="00D7257A">
      <w:pPr>
        <w:rPr>
          <w:rFonts w:eastAsia="Arial Unicode MS" w:cs="Arial"/>
          <w:lang w:val="nl-BE"/>
        </w:rPr>
      </w:pPr>
      <w:r>
        <w:rPr>
          <w:rFonts w:eastAsia="Arial" w:cs="Arial"/>
          <w:szCs w:val="20"/>
          <w:bdr w:val="nil"/>
          <w:lang w:val="nl-BE"/>
        </w:rPr>
        <w:t xml:space="preserve">            </w:t>
      </w:r>
      <w:r>
        <w:rPr>
          <w:rFonts w:eastAsia="Arial" w:cs="Arial"/>
          <w:szCs w:val="20"/>
          <w:bdr w:val="nil"/>
          <w:lang w:val="nl-BE"/>
        </w:rPr>
        <w:tab/>
        <w:t>(definitie van de activiteitensectoren: zie bijlage)</w:t>
      </w:r>
    </w:p>
    <w:p w:rsidR="00D7257A" w:rsidRPr="00A22E25" w:rsidRDefault="00D7257A" w:rsidP="00D7257A">
      <w:pPr>
        <w:rPr>
          <w:rFonts w:eastAsia="Arial Unicode MS" w:cs="Arial"/>
          <w:lang w:val="nl-BE"/>
        </w:rPr>
      </w:pPr>
      <w:r>
        <w:rPr>
          <w:rFonts w:eastAsia="Arial" w:cs="Arial"/>
          <w:szCs w:val="20"/>
          <w:bdr w:val="nil"/>
          <w:lang w:val="nl-BE"/>
        </w:rPr>
        <w:t>De activiteitensector die de meeste exportsteun krijgt, is de handel.</w:t>
      </w:r>
    </w:p>
    <w:p w:rsidR="00D7257A" w:rsidRDefault="00D7257A" w:rsidP="00D7257A">
      <w:pPr>
        <w:rPr>
          <w:rFonts w:eastAsia="Arial Unicode MS" w:cs="Arial"/>
        </w:rPr>
      </w:pPr>
      <w:r>
        <w:rPr>
          <w:rFonts w:eastAsia="Arial Unicode MS" w:cs="Arial"/>
          <w:noProof/>
          <w:lang w:eastAsia="fr-BE"/>
        </w:rPr>
        <w:drawing>
          <wp:inline distT="0" distB="0" distL="0" distR="0" wp14:anchorId="762BED87" wp14:editId="0E444257">
            <wp:extent cx="5857875" cy="2962275"/>
            <wp:effectExtent l="0" t="0" r="0" b="0"/>
            <wp:docPr id="29" name="Graphique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7257A" w:rsidRDefault="00D7257A" w:rsidP="00D7257A">
      <w:pPr>
        <w:jc w:val="left"/>
      </w:pPr>
      <w:r>
        <w:br w:type="page"/>
      </w:r>
    </w:p>
    <w:p w:rsidR="00D7257A" w:rsidRPr="00A22E25" w:rsidRDefault="00D7257A" w:rsidP="00D7257A">
      <w:pPr>
        <w:pStyle w:val="Titre1"/>
        <w:numPr>
          <w:ilvl w:val="0"/>
          <w:numId w:val="1"/>
        </w:numPr>
        <w:rPr>
          <w:lang w:val="nl-BE"/>
        </w:rPr>
      </w:pPr>
      <w:bookmarkStart w:id="41" w:name="_Toc518917061"/>
      <w:r>
        <w:rPr>
          <w:rFonts w:eastAsia="Arial" w:cs="Arial"/>
          <w:bdr w:val="nil"/>
          <w:lang w:val="nl-BE"/>
        </w:rPr>
        <w:lastRenderedPageBreak/>
        <w:t>Wet van 3 december 2005 betreffende de uitkering van een inkomenscompensatievergoeding aan zelfstandigen</w:t>
      </w:r>
      <w:bookmarkEnd w:id="41"/>
    </w:p>
    <w:p w:rsidR="00D7257A" w:rsidRPr="00A22E25" w:rsidRDefault="00D7257A" w:rsidP="00D7257A">
      <w:pPr>
        <w:rPr>
          <w:lang w:val="nl-BE"/>
        </w:rPr>
      </w:pPr>
      <w:r>
        <w:rPr>
          <w:rFonts w:eastAsia="Arial" w:cs="Arial"/>
          <w:szCs w:val="20"/>
          <w:bdr w:val="nil"/>
          <w:lang w:val="nl-BE"/>
        </w:rPr>
        <w:t>Die steun bestaat uit een vergoeding die toegekend wordt aan zelfstandigen die actief zijn in de verkoop van producten of diensten en die hun onderneming tijdelijk moeten sluiten ten gevolge van werken op het openbare domein. De vergoeding bestaat uit een forfaitair bedrag per sluitingsdag, vanaf de achtste dag die volgt op de sluitingsdatum van de gehinderde handelszaak.</w:t>
      </w:r>
    </w:p>
    <w:p w:rsidR="00D7257A" w:rsidRPr="00A22E25" w:rsidRDefault="00D7257A" w:rsidP="00D7257A">
      <w:pPr>
        <w:rPr>
          <w:lang w:val="nl-BE"/>
        </w:rPr>
      </w:pPr>
      <w:r>
        <w:rPr>
          <w:rFonts w:eastAsia="Arial" w:cs="Arial"/>
          <w:szCs w:val="20"/>
          <w:bdr w:val="nil"/>
          <w:lang w:val="nl-BE"/>
        </w:rPr>
        <w:t>Aantal in 2017 ingediende dossiers: 161</w:t>
      </w:r>
    </w:p>
    <w:p w:rsidR="00D7257A" w:rsidRPr="00A22E25" w:rsidRDefault="00D7257A" w:rsidP="00D7257A">
      <w:pPr>
        <w:rPr>
          <w:lang w:val="nl-BE"/>
        </w:rPr>
      </w:pPr>
      <w:r>
        <w:rPr>
          <w:rFonts w:eastAsia="Arial" w:cs="Arial"/>
          <w:szCs w:val="20"/>
          <w:bdr w:val="nil"/>
          <w:lang w:val="nl-BE"/>
        </w:rPr>
        <w:t>Aantal behandelde dossiers: 149, waarvan 96 met een gunstige beslissing voor een totaalbedrag van € 280.886.</w:t>
      </w:r>
    </w:p>
    <w:p w:rsidR="00D7257A" w:rsidRPr="00A22E25" w:rsidRDefault="00D7257A" w:rsidP="00D7257A">
      <w:pPr>
        <w:rPr>
          <w:rFonts w:eastAsia="Arial Unicode MS" w:cs="Arial"/>
          <w:lang w:val="nl-BE"/>
        </w:rPr>
      </w:pPr>
      <w:r>
        <w:rPr>
          <w:rFonts w:eastAsia="Arial" w:cs="Arial"/>
          <w:szCs w:val="20"/>
          <w:bdr w:val="nil"/>
          <w:lang w:val="nl-BE"/>
        </w:rPr>
        <w:t xml:space="preserve">Vergeleken met vorig jaar stellen we een uitgesproken </w:t>
      </w:r>
      <w:proofErr w:type="gramStart"/>
      <w:r>
        <w:rPr>
          <w:rFonts w:eastAsia="Arial" w:cs="Arial"/>
          <w:szCs w:val="20"/>
          <w:bdr w:val="nil"/>
          <w:lang w:val="nl-BE"/>
        </w:rPr>
        <w:t xml:space="preserve">toename  </w:t>
      </w:r>
      <w:proofErr w:type="gramEnd"/>
      <w:r>
        <w:rPr>
          <w:rFonts w:eastAsia="Arial" w:cs="Arial"/>
          <w:szCs w:val="20"/>
          <w:bdr w:val="nil"/>
          <w:lang w:val="nl-BE"/>
        </w:rPr>
        <w:t>vast van het aantal ingediende dossiers (met 126,76%) en behandelde dossiers (met 140,32%). Het weigeringscijfer is dan weer gestegen van 21% in 2016 naar 36% in 2017.</w:t>
      </w:r>
    </w:p>
    <w:p w:rsidR="00D7257A" w:rsidRPr="00A22E25" w:rsidRDefault="00D7257A" w:rsidP="00D7257A">
      <w:pPr>
        <w:rPr>
          <w:lang w:val="nl-BE"/>
        </w:rPr>
      </w:pPr>
      <w:r>
        <w:rPr>
          <w:rFonts w:eastAsia="Arial" w:cs="Arial"/>
          <w:szCs w:val="20"/>
          <w:bdr w:val="nil"/>
          <w:lang w:val="nl-BE"/>
        </w:rPr>
        <w:t>Plaats van de werken per gemeente:</w:t>
      </w:r>
    </w:p>
    <w:p w:rsidR="00D7257A" w:rsidRDefault="00D7257A" w:rsidP="00D7257A">
      <w:pPr>
        <w:pStyle w:val="Paragraphedeliste"/>
        <w:numPr>
          <w:ilvl w:val="0"/>
          <w:numId w:val="6"/>
        </w:numPr>
        <w:jc w:val="left"/>
      </w:pPr>
      <w:r>
        <w:rPr>
          <w:rFonts w:eastAsia="Arial" w:cs="Arial"/>
          <w:szCs w:val="20"/>
          <w:bdr w:val="nil"/>
          <w:lang w:val="nl-BE"/>
        </w:rPr>
        <w:t>Brussel: 10</w:t>
      </w:r>
    </w:p>
    <w:p w:rsidR="00D7257A" w:rsidRDefault="00D7257A" w:rsidP="00D7257A">
      <w:pPr>
        <w:pStyle w:val="Paragraphedeliste"/>
        <w:numPr>
          <w:ilvl w:val="0"/>
          <w:numId w:val="6"/>
        </w:numPr>
        <w:jc w:val="left"/>
      </w:pPr>
      <w:r>
        <w:rPr>
          <w:rFonts w:eastAsia="Arial" w:cs="Arial"/>
          <w:szCs w:val="20"/>
          <w:bdr w:val="nil"/>
          <w:lang w:val="nl-BE"/>
        </w:rPr>
        <w:t>Schaarbeek: 1</w:t>
      </w:r>
    </w:p>
    <w:p w:rsidR="00D7257A" w:rsidRDefault="00D7257A" w:rsidP="00D7257A">
      <w:pPr>
        <w:pStyle w:val="Paragraphedeliste"/>
        <w:numPr>
          <w:ilvl w:val="0"/>
          <w:numId w:val="6"/>
        </w:numPr>
        <w:jc w:val="left"/>
      </w:pPr>
      <w:r>
        <w:rPr>
          <w:rFonts w:eastAsia="Arial" w:cs="Arial"/>
          <w:szCs w:val="20"/>
          <w:bdr w:val="nil"/>
          <w:lang w:val="nl-BE"/>
        </w:rPr>
        <w:t>Elsene: 15</w:t>
      </w:r>
    </w:p>
    <w:p w:rsidR="00D7257A" w:rsidRDefault="00D7257A" w:rsidP="00D7257A">
      <w:pPr>
        <w:pStyle w:val="Paragraphedeliste"/>
        <w:numPr>
          <w:ilvl w:val="0"/>
          <w:numId w:val="6"/>
        </w:numPr>
        <w:jc w:val="left"/>
      </w:pPr>
      <w:r>
        <w:rPr>
          <w:rFonts w:eastAsia="Arial" w:cs="Arial"/>
          <w:szCs w:val="20"/>
          <w:bdr w:val="nil"/>
          <w:lang w:val="nl-BE"/>
        </w:rPr>
        <w:t>Sint-Gillis: 9</w:t>
      </w:r>
    </w:p>
    <w:p w:rsidR="00D7257A" w:rsidRPr="001F7532" w:rsidRDefault="00D7257A" w:rsidP="00D7257A">
      <w:pPr>
        <w:pStyle w:val="Paragraphedeliste"/>
        <w:numPr>
          <w:ilvl w:val="0"/>
          <w:numId w:val="6"/>
        </w:numPr>
        <w:jc w:val="left"/>
        <w:rPr>
          <w:lang w:val="nl-BE"/>
        </w:rPr>
      </w:pPr>
      <w:r>
        <w:rPr>
          <w:rFonts w:eastAsia="Arial" w:cs="Arial"/>
          <w:szCs w:val="20"/>
          <w:bdr w:val="nil"/>
          <w:lang w:val="nl-BE"/>
        </w:rPr>
        <w:t>Anderlecht: 3</w:t>
      </w:r>
    </w:p>
    <w:p w:rsidR="00D7257A" w:rsidRPr="001F7532" w:rsidRDefault="00D7257A" w:rsidP="00D7257A">
      <w:pPr>
        <w:pStyle w:val="Paragraphedeliste"/>
        <w:numPr>
          <w:ilvl w:val="0"/>
          <w:numId w:val="6"/>
        </w:numPr>
        <w:jc w:val="left"/>
        <w:rPr>
          <w:lang w:val="nl-BE"/>
        </w:rPr>
      </w:pPr>
      <w:r>
        <w:rPr>
          <w:rFonts w:eastAsia="Arial" w:cs="Arial"/>
          <w:szCs w:val="20"/>
          <w:bdr w:val="nil"/>
          <w:lang w:val="nl-BE"/>
        </w:rPr>
        <w:t>Sint-Jans-Molenbeek: 21</w:t>
      </w:r>
    </w:p>
    <w:p w:rsidR="00D7257A" w:rsidRPr="001F7532" w:rsidRDefault="00D7257A" w:rsidP="00D7257A">
      <w:pPr>
        <w:pStyle w:val="Paragraphedeliste"/>
        <w:numPr>
          <w:ilvl w:val="0"/>
          <w:numId w:val="6"/>
        </w:numPr>
        <w:jc w:val="left"/>
        <w:rPr>
          <w:lang w:val="nl-BE"/>
        </w:rPr>
      </w:pPr>
      <w:r>
        <w:rPr>
          <w:rFonts w:eastAsia="Arial" w:cs="Arial"/>
          <w:szCs w:val="20"/>
          <w:bdr w:val="nil"/>
          <w:lang w:val="nl-BE"/>
        </w:rPr>
        <w:t>Ganshoren: 4</w:t>
      </w:r>
    </w:p>
    <w:p w:rsidR="00D7257A" w:rsidRDefault="00D7257A" w:rsidP="00D7257A">
      <w:pPr>
        <w:pStyle w:val="Paragraphedeliste"/>
        <w:numPr>
          <w:ilvl w:val="0"/>
          <w:numId w:val="6"/>
        </w:numPr>
        <w:jc w:val="left"/>
      </w:pPr>
      <w:proofErr w:type="gramStart"/>
      <w:r>
        <w:rPr>
          <w:rFonts w:eastAsia="Arial" w:cs="Arial"/>
          <w:szCs w:val="20"/>
          <w:bdr w:val="nil"/>
          <w:lang w:val="nl-BE"/>
        </w:rPr>
        <w:t>Jette: 13</w:t>
      </w:r>
      <w:proofErr w:type="gramEnd"/>
    </w:p>
    <w:p w:rsidR="00D7257A" w:rsidRDefault="00D7257A" w:rsidP="00D7257A">
      <w:pPr>
        <w:pStyle w:val="Paragraphedeliste"/>
        <w:numPr>
          <w:ilvl w:val="0"/>
          <w:numId w:val="6"/>
        </w:numPr>
        <w:jc w:val="left"/>
      </w:pPr>
      <w:r>
        <w:rPr>
          <w:rFonts w:eastAsia="Arial" w:cs="Arial"/>
          <w:szCs w:val="20"/>
          <w:bdr w:val="nil"/>
          <w:lang w:val="nl-BE"/>
        </w:rPr>
        <w:t>Ukkel: 19</w:t>
      </w:r>
    </w:p>
    <w:p w:rsidR="00D7257A" w:rsidRDefault="00D7257A" w:rsidP="00D7257A">
      <w:pPr>
        <w:pStyle w:val="Paragraphedeliste"/>
        <w:numPr>
          <w:ilvl w:val="0"/>
          <w:numId w:val="6"/>
        </w:numPr>
        <w:jc w:val="left"/>
      </w:pPr>
      <w:r>
        <w:rPr>
          <w:rFonts w:eastAsia="Arial" w:cs="Arial"/>
          <w:szCs w:val="20"/>
          <w:bdr w:val="nil"/>
          <w:lang w:val="nl-BE"/>
        </w:rPr>
        <w:t>Sint-Joost-Ten-Node: 1</w:t>
      </w:r>
    </w:p>
    <w:p w:rsidR="00D7257A" w:rsidRDefault="00D7257A" w:rsidP="00D7257A">
      <w:pPr>
        <w:jc w:val="left"/>
        <w:rPr>
          <w:rFonts w:eastAsiaTheme="majorEastAsia" w:cstheme="majorBidi"/>
          <w:b/>
          <w:bCs/>
          <w:color w:val="0A00BE"/>
          <w:sz w:val="28"/>
          <w:szCs w:val="28"/>
        </w:rPr>
      </w:pPr>
      <w:r>
        <w:br w:type="page"/>
      </w:r>
    </w:p>
    <w:p w:rsidR="00D7257A" w:rsidRDefault="00D7257A" w:rsidP="00D7257A">
      <w:pPr>
        <w:pStyle w:val="Titre1"/>
        <w:numPr>
          <w:ilvl w:val="0"/>
          <w:numId w:val="1"/>
        </w:numPr>
      </w:pPr>
      <w:bookmarkStart w:id="42" w:name="_Toc518917062"/>
      <w:r>
        <w:rPr>
          <w:rFonts w:eastAsia="Arial" w:cs="Arial"/>
          <w:bdr w:val="nil"/>
          <w:lang w:val="nl-BE"/>
        </w:rPr>
        <w:lastRenderedPageBreak/>
        <w:t>Conclusie</w:t>
      </w:r>
      <w:bookmarkEnd w:id="42"/>
    </w:p>
    <w:p w:rsidR="00D7257A" w:rsidRPr="00A22E25" w:rsidRDefault="00D7257A" w:rsidP="00D7257A">
      <w:pPr>
        <w:rPr>
          <w:lang w:val="nl-BE"/>
        </w:rPr>
      </w:pPr>
      <w:r>
        <w:rPr>
          <w:rFonts w:eastAsia="Arial" w:cs="Arial"/>
          <w:szCs w:val="20"/>
          <w:bdr w:val="nil"/>
          <w:lang w:val="nl-BE"/>
        </w:rPr>
        <w:t xml:space="preserve">In 2017 heeft het bestuur </w:t>
      </w:r>
      <w:r>
        <w:rPr>
          <w:rFonts w:eastAsia="Arial" w:cs="Arial"/>
          <w:b/>
          <w:bCs/>
          <w:szCs w:val="20"/>
          <w:bdr w:val="nil"/>
          <w:lang w:val="nl-BE"/>
        </w:rPr>
        <w:t>5.309 steunaanvragen</w:t>
      </w:r>
      <w:r>
        <w:rPr>
          <w:rFonts w:eastAsia="Arial" w:cs="Arial"/>
          <w:szCs w:val="20"/>
          <w:bdr w:val="nil"/>
          <w:lang w:val="nl-BE"/>
        </w:rPr>
        <w:t xml:space="preserve"> ontvangen, waarvan bijna 50% had op </w:t>
      </w:r>
      <w:proofErr w:type="spellStart"/>
      <w:r>
        <w:rPr>
          <w:rFonts w:eastAsia="Arial" w:cs="Arial"/>
          <w:szCs w:val="20"/>
          <w:bdr w:val="nil"/>
          <w:lang w:val="nl-BE"/>
        </w:rPr>
        <w:t>softsteun</w:t>
      </w:r>
      <w:proofErr w:type="spellEnd"/>
      <w:r>
        <w:rPr>
          <w:rFonts w:eastAsia="Arial" w:cs="Arial"/>
          <w:szCs w:val="20"/>
          <w:bdr w:val="nil"/>
          <w:lang w:val="nl-BE"/>
        </w:rPr>
        <w:t xml:space="preserve">. Over 4.676 dossiers werd een beslissing genomen. Het totaal van de berekende premies bedraagt </w:t>
      </w:r>
      <w:r>
        <w:rPr>
          <w:rFonts w:eastAsia="Arial" w:cs="Arial"/>
          <w:b/>
          <w:bCs/>
          <w:szCs w:val="20"/>
          <w:bdr w:val="nil"/>
          <w:lang w:val="nl-BE"/>
        </w:rPr>
        <w:t>33,9 miljoen euro</w:t>
      </w:r>
      <w:r>
        <w:rPr>
          <w:rFonts w:eastAsia="Arial" w:cs="Arial"/>
          <w:szCs w:val="20"/>
          <w:bdr w:val="nil"/>
          <w:lang w:val="nl-BE"/>
        </w:rPr>
        <w:t xml:space="preserve">. </w:t>
      </w:r>
    </w:p>
    <w:p w:rsidR="00D7257A" w:rsidRPr="00A22E25" w:rsidRDefault="00D7257A" w:rsidP="00D7257A">
      <w:pPr>
        <w:rPr>
          <w:lang w:val="nl-BE"/>
        </w:rPr>
      </w:pPr>
      <w:r>
        <w:rPr>
          <w:rFonts w:eastAsia="Arial" w:cs="Arial"/>
          <w:szCs w:val="20"/>
          <w:bdr w:val="nil"/>
          <w:lang w:val="nl-BE"/>
        </w:rPr>
        <w:t xml:space="preserve">De activiteitensectoren van de begunstigden verschillen aanzienlijk naargelang de behandelde materies. </w:t>
      </w:r>
      <w:proofErr w:type="spellStart"/>
      <w:r>
        <w:rPr>
          <w:rFonts w:eastAsia="Arial" w:cs="Arial"/>
          <w:szCs w:val="20"/>
          <w:bdr w:val="nil"/>
          <w:lang w:val="nl-BE"/>
        </w:rPr>
        <w:t>Softsteun</w:t>
      </w:r>
      <w:proofErr w:type="spellEnd"/>
      <w:r>
        <w:rPr>
          <w:rFonts w:eastAsia="Arial" w:cs="Arial"/>
          <w:szCs w:val="20"/>
          <w:bdr w:val="nil"/>
          <w:lang w:val="nl-BE"/>
        </w:rPr>
        <w:t xml:space="preserve"> komt vooral de dienstenbedrijven ten goede (gespecialiseerde, wetenschappelijke en technische activiteiten en informatie en communicatie) terwijl de investeringssteun vooral wordt toegekend aan handels- en horecabedrijven en de exportsteun vooral op handel betrekking heeft.</w:t>
      </w:r>
    </w:p>
    <w:p w:rsidR="00D7257A" w:rsidRPr="00A22E25" w:rsidRDefault="00D7257A" w:rsidP="00D7257A">
      <w:pPr>
        <w:rPr>
          <w:b/>
          <w:lang w:val="nl-BE"/>
        </w:rPr>
      </w:pPr>
      <w:r>
        <w:rPr>
          <w:rFonts w:eastAsia="Arial" w:cs="Arial"/>
          <w:b/>
          <w:bCs/>
          <w:szCs w:val="20"/>
          <w:bdr w:val="nil"/>
          <w:lang w:val="nl-BE"/>
        </w:rPr>
        <w:t>De meerderheid van de tegemoetkomingen heeft betrekking op micro-ondernemingen:</w:t>
      </w:r>
    </w:p>
    <w:p w:rsidR="00D7257A" w:rsidRPr="00A22E25" w:rsidRDefault="00D7257A" w:rsidP="00D7257A">
      <w:pPr>
        <w:pStyle w:val="Paragraphedeliste"/>
        <w:numPr>
          <w:ilvl w:val="0"/>
          <w:numId w:val="3"/>
        </w:numPr>
        <w:rPr>
          <w:lang w:val="nl-BE"/>
        </w:rPr>
      </w:pPr>
      <w:r>
        <w:rPr>
          <w:rFonts w:eastAsia="Arial" w:cs="Arial"/>
          <w:szCs w:val="20"/>
          <w:bdr w:val="nil"/>
          <w:lang w:val="nl-BE"/>
        </w:rPr>
        <w:t xml:space="preserve">71% van de toekenningsdossiers voor algemene investeringen </w:t>
      </w:r>
      <w:proofErr w:type="gramStart"/>
      <w:r>
        <w:rPr>
          <w:rFonts w:eastAsia="Arial" w:cs="Arial"/>
          <w:szCs w:val="20"/>
          <w:bdr w:val="nil"/>
          <w:lang w:val="nl-BE"/>
        </w:rPr>
        <w:t xml:space="preserve">betreffen  </w:t>
      </w:r>
      <w:proofErr w:type="gramEnd"/>
      <w:r>
        <w:rPr>
          <w:rFonts w:eastAsia="Arial" w:cs="Arial"/>
          <w:szCs w:val="20"/>
          <w:bdr w:val="nil"/>
          <w:lang w:val="nl-BE"/>
        </w:rPr>
        <w:t>micro-ondernemingen;</w:t>
      </w:r>
    </w:p>
    <w:p w:rsidR="00D7257A" w:rsidRPr="00A22E25" w:rsidRDefault="00D7257A" w:rsidP="00D7257A">
      <w:pPr>
        <w:pStyle w:val="Paragraphedeliste"/>
        <w:numPr>
          <w:ilvl w:val="0"/>
          <w:numId w:val="3"/>
        </w:numPr>
        <w:rPr>
          <w:lang w:val="nl-BE"/>
        </w:rPr>
      </w:pPr>
      <w:r>
        <w:rPr>
          <w:rFonts w:eastAsia="Arial" w:cs="Arial"/>
          <w:szCs w:val="20"/>
          <w:bdr w:val="nil"/>
          <w:lang w:val="nl-BE"/>
        </w:rPr>
        <w:t xml:space="preserve">65% van de toekenningsdossiers voor specifieke investeringen </w:t>
      </w:r>
      <w:proofErr w:type="gramStart"/>
      <w:r>
        <w:rPr>
          <w:rFonts w:eastAsia="Arial" w:cs="Arial"/>
          <w:szCs w:val="20"/>
          <w:bdr w:val="nil"/>
          <w:lang w:val="nl-BE"/>
        </w:rPr>
        <w:t xml:space="preserve">betreffen  </w:t>
      </w:r>
      <w:proofErr w:type="gramEnd"/>
      <w:r>
        <w:rPr>
          <w:rFonts w:eastAsia="Arial" w:cs="Arial"/>
          <w:szCs w:val="20"/>
          <w:bdr w:val="nil"/>
          <w:lang w:val="nl-BE"/>
        </w:rPr>
        <w:t>micro-ondernemingen;</w:t>
      </w:r>
    </w:p>
    <w:p w:rsidR="00D7257A" w:rsidRPr="00A22E25" w:rsidRDefault="00D7257A" w:rsidP="00D7257A">
      <w:pPr>
        <w:pStyle w:val="Paragraphedeliste"/>
        <w:numPr>
          <w:ilvl w:val="0"/>
          <w:numId w:val="3"/>
        </w:numPr>
        <w:rPr>
          <w:lang w:val="nl-BE"/>
        </w:rPr>
      </w:pPr>
      <w:r>
        <w:rPr>
          <w:rFonts w:eastAsia="Arial" w:cs="Arial"/>
          <w:szCs w:val="20"/>
          <w:bdr w:val="nil"/>
          <w:lang w:val="nl-BE"/>
        </w:rPr>
        <w:t xml:space="preserve">76% van de toekenningsdossiers voor </w:t>
      </w:r>
      <w:proofErr w:type="spellStart"/>
      <w:r>
        <w:rPr>
          <w:rFonts w:eastAsia="Arial" w:cs="Arial"/>
          <w:szCs w:val="20"/>
          <w:bdr w:val="nil"/>
          <w:lang w:val="nl-BE"/>
        </w:rPr>
        <w:t>softsteun</w:t>
      </w:r>
      <w:proofErr w:type="spellEnd"/>
      <w:r>
        <w:rPr>
          <w:rFonts w:eastAsia="Arial" w:cs="Arial"/>
          <w:szCs w:val="20"/>
          <w:bdr w:val="nil"/>
          <w:lang w:val="nl-BE"/>
        </w:rPr>
        <w:t xml:space="preserve"> </w:t>
      </w:r>
      <w:proofErr w:type="gramStart"/>
      <w:r>
        <w:rPr>
          <w:rFonts w:eastAsia="Arial" w:cs="Arial"/>
          <w:szCs w:val="20"/>
          <w:bdr w:val="nil"/>
          <w:lang w:val="nl-BE"/>
        </w:rPr>
        <w:t xml:space="preserve">betreffen  </w:t>
      </w:r>
      <w:proofErr w:type="gramEnd"/>
      <w:r>
        <w:rPr>
          <w:rFonts w:eastAsia="Arial" w:cs="Arial"/>
          <w:szCs w:val="20"/>
          <w:bdr w:val="nil"/>
          <w:lang w:val="nl-BE"/>
        </w:rPr>
        <w:t>micro-ondernemingen;</w:t>
      </w:r>
    </w:p>
    <w:p w:rsidR="00D7257A" w:rsidRPr="00A22E25" w:rsidRDefault="00D7257A" w:rsidP="00D7257A">
      <w:pPr>
        <w:pStyle w:val="Paragraphedeliste"/>
        <w:numPr>
          <w:ilvl w:val="0"/>
          <w:numId w:val="3"/>
        </w:numPr>
        <w:rPr>
          <w:lang w:val="nl-BE"/>
        </w:rPr>
      </w:pPr>
      <w:r>
        <w:rPr>
          <w:rFonts w:eastAsia="Arial" w:cs="Arial"/>
          <w:szCs w:val="20"/>
          <w:bdr w:val="nil"/>
          <w:lang w:val="nl-BE"/>
        </w:rPr>
        <w:t xml:space="preserve">77% van de toekenningsdossiers voor financiële exporttegemoetkomingen </w:t>
      </w:r>
      <w:proofErr w:type="gramStart"/>
      <w:r>
        <w:rPr>
          <w:rFonts w:eastAsia="Arial" w:cs="Arial"/>
          <w:szCs w:val="20"/>
          <w:bdr w:val="nil"/>
          <w:lang w:val="nl-BE"/>
        </w:rPr>
        <w:t xml:space="preserve">betreffen  </w:t>
      </w:r>
      <w:proofErr w:type="gramEnd"/>
      <w:r>
        <w:rPr>
          <w:rFonts w:eastAsia="Arial" w:cs="Arial"/>
          <w:szCs w:val="20"/>
          <w:bdr w:val="nil"/>
          <w:lang w:val="nl-BE"/>
        </w:rPr>
        <w:t>micro-ondernemingen.</w:t>
      </w:r>
    </w:p>
    <w:p w:rsidR="00D7257A" w:rsidRPr="00A22E25" w:rsidRDefault="00D7257A" w:rsidP="00D7257A">
      <w:pPr>
        <w:rPr>
          <w:lang w:val="nl-BE"/>
        </w:rPr>
      </w:pPr>
      <w:r>
        <w:rPr>
          <w:rFonts w:eastAsia="Arial" w:cs="Arial"/>
          <w:szCs w:val="20"/>
          <w:bdr w:val="nil"/>
          <w:lang w:val="nl-BE"/>
        </w:rPr>
        <w:t>Het nogal hoge aantal ongunstige beslissingen betreffende investeringen (33% voor de algemene investeringen en 45% voor de specifieke investeringen) is te wijten aan de volgende twee factoren:</w:t>
      </w:r>
    </w:p>
    <w:p w:rsidR="00D7257A" w:rsidRPr="00A22E25" w:rsidRDefault="00D7257A" w:rsidP="00D7257A">
      <w:pPr>
        <w:pStyle w:val="Paragraphedeliste"/>
        <w:numPr>
          <w:ilvl w:val="0"/>
          <w:numId w:val="3"/>
        </w:numPr>
        <w:rPr>
          <w:lang w:val="nl-BE"/>
        </w:rPr>
      </w:pPr>
      <w:r>
        <w:rPr>
          <w:rFonts w:eastAsia="Arial" w:cs="Arial"/>
          <w:szCs w:val="20"/>
          <w:bdr w:val="nil"/>
          <w:lang w:val="nl-BE"/>
        </w:rPr>
        <w:t>het afzien van of uitstellen van investeringsprogramma's wordt als een weigering geboekt.</w:t>
      </w:r>
    </w:p>
    <w:p w:rsidR="00D7257A" w:rsidRPr="00A22E25" w:rsidRDefault="00D7257A" w:rsidP="00D7257A">
      <w:pPr>
        <w:pStyle w:val="Paragraphedeliste"/>
        <w:numPr>
          <w:ilvl w:val="0"/>
          <w:numId w:val="3"/>
        </w:numPr>
        <w:rPr>
          <w:lang w:val="nl-BE"/>
        </w:rPr>
      </w:pPr>
      <w:r>
        <w:rPr>
          <w:rFonts w:eastAsia="Arial" w:cs="Arial"/>
          <w:szCs w:val="20"/>
          <w:bdr w:val="nil"/>
          <w:lang w:val="nl-BE"/>
        </w:rPr>
        <w:t>de overschrijding van de termijn van 120 dagen na de datum van ontvangst van de voorafgaande toelatingsaanvraag om het definitieve dossier in te dienen.</w:t>
      </w:r>
    </w:p>
    <w:p w:rsidR="00D7257A" w:rsidRPr="00A22E25" w:rsidRDefault="00D7257A" w:rsidP="00D7257A">
      <w:pPr>
        <w:rPr>
          <w:rFonts w:eastAsiaTheme="majorEastAsia" w:cstheme="majorBidi"/>
          <w:b/>
          <w:bCs/>
          <w:color w:val="0A00BE"/>
          <w:sz w:val="28"/>
          <w:szCs w:val="28"/>
          <w:lang w:val="nl-BE"/>
        </w:rPr>
      </w:pPr>
      <w:r>
        <w:rPr>
          <w:rFonts w:eastAsia="Arial" w:cs="Arial"/>
          <w:szCs w:val="20"/>
          <w:bdr w:val="nil"/>
          <w:lang w:val="nl-BE"/>
        </w:rPr>
        <w:t xml:space="preserve">Ter herinnering: in 2016 had het bestuur 5.024 steunaanvragen genoteerd. We stellen dus een </w:t>
      </w:r>
      <w:r>
        <w:rPr>
          <w:rFonts w:eastAsia="Arial" w:cs="Arial"/>
          <w:b/>
          <w:bCs/>
          <w:szCs w:val="20"/>
          <w:bdr w:val="nil"/>
          <w:lang w:val="nl-BE"/>
        </w:rPr>
        <w:t xml:space="preserve">stijging van het aantal aanvragen met 5,7% vast tussen 2016 en </w:t>
      </w:r>
      <w:proofErr w:type="gramStart"/>
      <w:r>
        <w:rPr>
          <w:rFonts w:eastAsia="Arial" w:cs="Arial"/>
          <w:b/>
          <w:bCs/>
          <w:szCs w:val="20"/>
          <w:bdr w:val="nil"/>
          <w:lang w:val="nl-BE"/>
        </w:rPr>
        <w:t>2017</w:t>
      </w:r>
      <w:r>
        <w:rPr>
          <w:rFonts w:eastAsia="Arial" w:cs="Arial"/>
          <w:szCs w:val="20"/>
          <w:bdr w:val="nil"/>
          <w:lang w:val="nl-BE"/>
        </w:rPr>
        <w:t xml:space="preserve">.  </w:t>
      </w:r>
      <w:proofErr w:type="gramEnd"/>
      <w:r>
        <w:rPr>
          <w:rFonts w:eastAsia="Arial" w:cs="Arial"/>
          <w:szCs w:val="20"/>
          <w:bdr w:val="nil"/>
          <w:lang w:val="nl-BE"/>
        </w:rPr>
        <w:br w:type="page"/>
      </w:r>
    </w:p>
    <w:p w:rsidR="00D7257A" w:rsidRPr="00A22E25" w:rsidRDefault="00D7257A" w:rsidP="00D7257A">
      <w:pPr>
        <w:pStyle w:val="Titre1"/>
        <w:numPr>
          <w:ilvl w:val="0"/>
          <w:numId w:val="1"/>
        </w:numPr>
        <w:rPr>
          <w:lang w:val="nl-BE"/>
        </w:rPr>
      </w:pPr>
      <w:bookmarkStart w:id="43" w:name="_Toc518917063"/>
      <w:r>
        <w:rPr>
          <w:rFonts w:eastAsia="Arial" w:cs="Arial"/>
          <w:bdr w:val="nil"/>
          <w:lang w:val="nl-BE"/>
        </w:rPr>
        <w:lastRenderedPageBreak/>
        <w:t>Bijlage: grootte van de ondernemingen en NACE BEL-codes</w:t>
      </w:r>
      <w:bookmarkEnd w:id="43"/>
    </w:p>
    <w:p w:rsidR="00D7257A" w:rsidRPr="00A22E25" w:rsidRDefault="00D7257A" w:rsidP="00D7257A">
      <w:pPr>
        <w:pStyle w:val="Titre2"/>
        <w:numPr>
          <w:ilvl w:val="1"/>
          <w:numId w:val="1"/>
        </w:numPr>
        <w:rPr>
          <w:rFonts w:eastAsia="Arial Unicode MS"/>
          <w:lang w:val="nl-BE"/>
        </w:rPr>
      </w:pPr>
      <w:bookmarkStart w:id="44" w:name="_Toc518917064"/>
      <w:r>
        <w:rPr>
          <w:rFonts w:eastAsia="Arial" w:cs="Arial"/>
          <w:bdr w:val="nil"/>
          <w:lang w:val="nl-BE"/>
        </w:rPr>
        <w:t>Bepaling van de grootte van ondernemingen</w:t>
      </w:r>
      <w:bookmarkEnd w:id="44"/>
    </w:p>
    <w:p w:rsidR="00D7257A" w:rsidRPr="00A22E25" w:rsidRDefault="00D7257A" w:rsidP="00D7257A">
      <w:pPr>
        <w:ind w:left="426"/>
        <w:rPr>
          <w:rFonts w:eastAsia="Arial Unicode MS" w:cs="Arial"/>
          <w:b/>
          <w:sz w:val="24"/>
          <w:szCs w:val="24"/>
          <w:lang w:val="nl-BE"/>
        </w:rPr>
      </w:pPr>
    </w:p>
    <w:p w:rsidR="00D7257A" w:rsidRPr="00A22E25" w:rsidRDefault="00D7257A" w:rsidP="00D7257A">
      <w:pPr>
        <w:ind w:left="426"/>
        <w:rPr>
          <w:rFonts w:cs="Arial"/>
          <w:lang w:val="nl-BE"/>
        </w:rPr>
      </w:pPr>
      <w:r>
        <w:rPr>
          <w:rFonts w:eastAsia="Arial" w:cs="Arial"/>
          <w:b/>
          <w:bCs/>
          <w:szCs w:val="20"/>
          <w:u w:val="single"/>
          <w:bdr w:val="nil"/>
          <w:lang w:val="nl-BE"/>
        </w:rPr>
        <w:t>Micro-onderneming</w:t>
      </w:r>
    </w:p>
    <w:p w:rsidR="00D7257A" w:rsidRPr="00A22E25" w:rsidRDefault="00D7257A" w:rsidP="00D7257A">
      <w:pPr>
        <w:ind w:left="426"/>
        <w:rPr>
          <w:rFonts w:cs="Arial"/>
          <w:lang w:val="nl-BE"/>
        </w:rPr>
      </w:pPr>
      <w:r>
        <w:rPr>
          <w:rFonts w:eastAsia="Arial" w:cs="Arial"/>
          <w:szCs w:val="20"/>
          <w:bdr w:val="nil"/>
          <w:lang w:val="nl-BE"/>
        </w:rPr>
        <w:t>Personeel: &lt; 10 personen</w:t>
      </w:r>
    </w:p>
    <w:p w:rsidR="00D7257A" w:rsidRPr="00A22E25" w:rsidRDefault="00D7257A" w:rsidP="00D7257A">
      <w:pPr>
        <w:ind w:left="426"/>
        <w:rPr>
          <w:rFonts w:cs="Arial"/>
          <w:lang w:val="nl-BE"/>
        </w:rPr>
      </w:pPr>
      <w:r>
        <w:rPr>
          <w:rFonts w:eastAsia="Arial" w:cs="Arial"/>
          <w:szCs w:val="20"/>
          <w:bdr w:val="nil"/>
          <w:lang w:val="nl-BE"/>
        </w:rPr>
        <w:t>Omzet: ≤ 2 miljoen euro of balans: ≤ 2 miljoen euro.</w:t>
      </w:r>
    </w:p>
    <w:p w:rsidR="00D7257A" w:rsidRPr="00A22E25" w:rsidRDefault="00D7257A" w:rsidP="00D7257A">
      <w:pPr>
        <w:ind w:left="426"/>
        <w:rPr>
          <w:rFonts w:cs="Arial"/>
          <w:lang w:val="nl-BE"/>
        </w:rPr>
      </w:pPr>
      <w:r w:rsidRPr="00A22E25">
        <w:rPr>
          <w:rFonts w:cs="Arial"/>
          <w:lang w:val="nl-BE"/>
        </w:rPr>
        <w:t> </w:t>
      </w:r>
    </w:p>
    <w:p w:rsidR="00D7257A" w:rsidRPr="00A22E25" w:rsidRDefault="00D7257A" w:rsidP="00D7257A">
      <w:pPr>
        <w:ind w:left="426"/>
        <w:rPr>
          <w:rFonts w:cs="Arial"/>
          <w:lang w:val="nl-BE"/>
        </w:rPr>
      </w:pPr>
      <w:r>
        <w:rPr>
          <w:rFonts w:eastAsia="Arial" w:cs="Arial"/>
          <w:b/>
          <w:bCs/>
          <w:szCs w:val="20"/>
          <w:u w:val="single"/>
          <w:bdr w:val="nil"/>
          <w:lang w:val="nl-BE"/>
        </w:rPr>
        <w:t>Kleine onderneming</w:t>
      </w:r>
    </w:p>
    <w:p w:rsidR="00D7257A" w:rsidRPr="00A22E25" w:rsidRDefault="00D7257A" w:rsidP="00D7257A">
      <w:pPr>
        <w:ind w:left="426"/>
        <w:rPr>
          <w:rFonts w:cs="Arial"/>
          <w:lang w:val="nl-BE"/>
        </w:rPr>
      </w:pPr>
      <w:r>
        <w:rPr>
          <w:rFonts w:eastAsia="Arial" w:cs="Arial"/>
          <w:szCs w:val="20"/>
          <w:bdr w:val="nil"/>
          <w:lang w:val="nl-BE"/>
        </w:rPr>
        <w:t>Personeel: &lt; 50 personen</w:t>
      </w:r>
    </w:p>
    <w:p w:rsidR="00D7257A" w:rsidRPr="00A22E25" w:rsidRDefault="00D7257A" w:rsidP="00D7257A">
      <w:pPr>
        <w:ind w:left="426"/>
        <w:rPr>
          <w:rFonts w:cs="Arial"/>
          <w:lang w:val="nl-BE"/>
        </w:rPr>
      </w:pPr>
      <w:r>
        <w:rPr>
          <w:rFonts w:eastAsia="Arial" w:cs="Arial"/>
          <w:szCs w:val="20"/>
          <w:bdr w:val="nil"/>
          <w:lang w:val="nl-BE"/>
        </w:rPr>
        <w:t>Omzet: ≤ 10 miljoen euro of balans: ≤ 10 miljoen euro.</w:t>
      </w:r>
    </w:p>
    <w:p w:rsidR="00D7257A" w:rsidRPr="00A22E25" w:rsidRDefault="00D7257A" w:rsidP="00D7257A">
      <w:pPr>
        <w:ind w:left="426"/>
        <w:rPr>
          <w:rFonts w:cs="Arial"/>
          <w:lang w:val="nl-BE"/>
        </w:rPr>
      </w:pPr>
      <w:r w:rsidRPr="00A22E25">
        <w:rPr>
          <w:rFonts w:cs="Arial"/>
          <w:lang w:val="nl-BE"/>
        </w:rPr>
        <w:t> </w:t>
      </w:r>
    </w:p>
    <w:p w:rsidR="00D7257A" w:rsidRPr="00A22E25" w:rsidRDefault="00D7257A" w:rsidP="00D7257A">
      <w:pPr>
        <w:ind w:left="426"/>
        <w:rPr>
          <w:rFonts w:cs="Arial"/>
          <w:lang w:val="nl-BE"/>
        </w:rPr>
      </w:pPr>
      <w:r>
        <w:rPr>
          <w:rFonts w:eastAsia="Arial" w:cs="Arial"/>
          <w:b/>
          <w:bCs/>
          <w:szCs w:val="20"/>
          <w:u w:val="single"/>
          <w:bdr w:val="nil"/>
          <w:lang w:val="nl-BE"/>
        </w:rPr>
        <w:t>Middelgrote onderneming</w:t>
      </w:r>
    </w:p>
    <w:p w:rsidR="00D7257A" w:rsidRPr="00A22E25" w:rsidRDefault="00D7257A" w:rsidP="00D7257A">
      <w:pPr>
        <w:ind w:left="426"/>
        <w:rPr>
          <w:rFonts w:cs="Arial"/>
          <w:lang w:val="nl-BE"/>
        </w:rPr>
      </w:pPr>
      <w:r>
        <w:rPr>
          <w:rFonts w:eastAsia="Arial" w:cs="Arial"/>
          <w:szCs w:val="20"/>
          <w:bdr w:val="nil"/>
          <w:lang w:val="nl-BE"/>
        </w:rPr>
        <w:t>Personeel: &lt; 250 personen</w:t>
      </w:r>
    </w:p>
    <w:p w:rsidR="00D7257A" w:rsidRPr="00A22E25" w:rsidRDefault="00D7257A" w:rsidP="00D7257A">
      <w:pPr>
        <w:ind w:left="426"/>
        <w:rPr>
          <w:rFonts w:cs="Arial"/>
          <w:lang w:val="nl-BE"/>
        </w:rPr>
      </w:pPr>
      <w:r>
        <w:rPr>
          <w:rFonts w:eastAsia="Arial" w:cs="Arial"/>
          <w:szCs w:val="20"/>
          <w:bdr w:val="nil"/>
          <w:lang w:val="nl-BE"/>
        </w:rPr>
        <w:t>Omzet: ≤ 50 miljoen euro of balans: ≤ 43 miljoen euro.</w:t>
      </w:r>
    </w:p>
    <w:p w:rsidR="00D7257A" w:rsidRPr="00A22E25" w:rsidRDefault="00D7257A" w:rsidP="00D7257A">
      <w:pPr>
        <w:jc w:val="left"/>
        <w:rPr>
          <w:rFonts w:cs="Arial"/>
          <w:lang w:val="nl-BE"/>
        </w:rPr>
      </w:pPr>
      <w:r w:rsidRPr="00A22E25">
        <w:rPr>
          <w:rFonts w:cs="Arial"/>
          <w:lang w:val="nl-BE"/>
        </w:rPr>
        <w:br w:type="page"/>
      </w:r>
    </w:p>
    <w:p w:rsidR="00D7257A" w:rsidRPr="00FA1DDD" w:rsidRDefault="00D7257A" w:rsidP="00D7257A">
      <w:pPr>
        <w:pStyle w:val="Titre2"/>
        <w:numPr>
          <w:ilvl w:val="1"/>
          <w:numId w:val="1"/>
        </w:numPr>
        <w:rPr>
          <w:rFonts w:eastAsia="Arial Unicode MS"/>
        </w:rPr>
      </w:pPr>
      <w:bookmarkStart w:id="45" w:name="_Toc518917065"/>
      <w:r>
        <w:rPr>
          <w:rFonts w:eastAsia="Arial" w:cs="Arial"/>
          <w:bdr w:val="nil"/>
          <w:lang w:val="nl-BE"/>
        </w:rPr>
        <w:lastRenderedPageBreak/>
        <w:t>NACEBEL-activiteitensector</w:t>
      </w:r>
      <w:bookmarkEnd w:id="45"/>
    </w:p>
    <w:p w:rsidR="00D7257A" w:rsidRDefault="00D7257A" w:rsidP="00D7257A">
      <w:pPr>
        <w:ind w:left="426"/>
        <w:rPr>
          <w:rFonts w:cs="Arial"/>
          <w:sz w:val="16"/>
          <w:szCs w:val="16"/>
        </w:rPr>
      </w:pPr>
    </w:p>
    <w:tbl>
      <w:tblPr>
        <w:tblW w:w="4758" w:type="pct"/>
        <w:tblInd w:w="4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222"/>
        <w:gridCol w:w="6438"/>
      </w:tblGrid>
      <w:tr w:rsidR="00D7257A" w:rsidTr="00306013">
        <w:trPr>
          <w:trHeight w:val="227"/>
        </w:trPr>
        <w:tc>
          <w:tcPr>
            <w:tcW w:w="1391" w:type="pct"/>
            <w:tcMar>
              <w:top w:w="15" w:type="dxa"/>
              <w:left w:w="15" w:type="dxa"/>
              <w:bottom w:w="0" w:type="dxa"/>
              <w:right w:w="15" w:type="dxa"/>
            </w:tcMar>
            <w:vAlign w:val="center"/>
          </w:tcPr>
          <w:p w:rsidR="00D7257A" w:rsidRPr="00482D14" w:rsidRDefault="00D7257A" w:rsidP="00306013">
            <w:pPr>
              <w:ind w:left="126"/>
              <w:jc w:val="left"/>
              <w:rPr>
                <w:rFonts w:eastAsia="Arial Unicode MS" w:cs="Arial"/>
                <w:b/>
                <w:sz w:val="24"/>
                <w:szCs w:val="24"/>
              </w:rPr>
            </w:pPr>
            <w:r>
              <w:rPr>
                <w:rFonts w:eastAsia="Arial" w:cs="Arial"/>
                <w:b/>
                <w:bCs/>
                <w:sz w:val="24"/>
                <w:szCs w:val="24"/>
                <w:bdr w:val="nil"/>
                <w:lang w:val="nl-BE"/>
              </w:rPr>
              <w:t>NACEBEL-code</w:t>
            </w:r>
          </w:p>
        </w:tc>
        <w:tc>
          <w:tcPr>
            <w:tcW w:w="3609" w:type="pct"/>
            <w:noWrap/>
            <w:tcMar>
              <w:top w:w="15" w:type="dxa"/>
              <w:left w:w="15" w:type="dxa"/>
              <w:bottom w:w="0" w:type="dxa"/>
              <w:right w:w="15" w:type="dxa"/>
            </w:tcMar>
            <w:vAlign w:val="center"/>
          </w:tcPr>
          <w:p w:rsidR="00D7257A" w:rsidRPr="00482D14" w:rsidRDefault="00D7257A" w:rsidP="00306013">
            <w:pPr>
              <w:pStyle w:val="Lettercontact"/>
              <w:spacing w:line="240" w:lineRule="auto"/>
              <w:ind w:left="126"/>
              <w:jc w:val="left"/>
              <w:rPr>
                <w:rFonts w:eastAsia="Arial Unicode MS" w:cs="Arial"/>
                <w:b/>
                <w:sz w:val="24"/>
                <w:szCs w:val="24"/>
                <w:lang w:val="fr-FR" w:eastAsia="fr-FR"/>
              </w:rPr>
            </w:pPr>
            <w:r>
              <w:rPr>
                <w:rFonts w:eastAsia="Arial" w:cs="Arial"/>
                <w:b/>
                <w:bCs/>
                <w:sz w:val="24"/>
                <w:szCs w:val="24"/>
                <w:bdr w:val="nil"/>
                <w:lang w:val="nl-BE" w:eastAsia="fr-FR"/>
              </w:rPr>
              <w:t>Activiteitensectoren</w:t>
            </w:r>
          </w:p>
        </w:tc>
      </w:tr>
      <w:tr w:rsidR="00D7257A" w:rsidTr="00306013">
        <w:trPr>
          <w:trHeight w:val="227"/>
        </w:trPr>
        <w:tc>
          <w:tcPr>
            <w:tcW w:w="1391" w:type="pct"/>
            <w:noWrap/>
            <w:tcMar>
              <w:top w:w="15" w:type="dxa"/>
              <w:left w:w="15" w:type="dxa"/>
              <w:bottom w:w="0" w:type="dxa"/>
              <w:right w:w="15" w:type="dxa"/>
            </w:tcMar>
            <w:vAlign w:val="bottom"/>
          </w:tcPr>
          <w:p w:rsidR="00D7257A" w:rsidRPr="00894AB4" w:rsidRDefault="00D7257A" w:rsidP="00306013">
            <w:pPr>
              <w:ind w:left="126"/>
              <w:jc w:val="left"/>
              <w:rPr>
                <w:rFonts w:eastAsia="Arial Unicode MS" w:cs="Arial"/>
              </w:rPr>
            </w:pPr>
            <w:r>
              <w:rPr>
                <w:rFonts w:eastAsia="Arial" w:cs="Arial"/>
                <w:szCs w:val="20"/>
                <w:bdr w:val="nil"/>
                <w:lang w:val="nl-BE"/>
              </w:rPr>
              <w:t>A (01 tot 03)</w:t>
            </w:r>
          </w:p>
        </w:tc>
        <w:tc>
          <w:tcPr>
            <w:tcW w:w="3609" w:type="pct"/>
            <w:noWrap/>
            <w:tcMar>
              <w:top w:w="15" w:type="dxa"/>
              <w:left w:w="15" w:type="dxa"/>
              <w:bottom w:w="0" w:type="dxa"/>
              <w:right w:w="15" w:type="dxa"/>
            </w:tcMar>
            <w:vAlign w:val="bottom"/>
          </w:tcPr>
          <w:p w:rsidR="00D7257A" w:rsidRPr="00894AB4" w:rsidRDefault="00D7257A" w:rsidP="00306013">
            <w:pPr>
              <w:ind w:left="126"/>
              <w:jc w:val="left"/>
              <w:rPr>
                <w:rFonts w:eastAsia="Arial Unicode MS" w:cs="Arial"/>
              </w:rPr>
            </w:pPr>
            <w:r>
              <w:rPr>
                <w:rFonts w:eastAsia="Arial" w:cs="Arial"/>
                <w:szCs w:val="20"/>
                <w:bdr w:val="nil"/>
                <w:lang w:val="nl-BE"/>
              </w:rPr>
              <w:t>Landbouw, bosbouw en visserij</w:t>
            </w:r>
          </w:p>
        </w:tc>
      </w:tr>
      <w:tr w:rsidR="00D7257A" w:rsidTr="00306013">
        <w:trPr>
          <w:trHeight w:val="227"/>
        </w:trPr>
        <w:tc>
          <w:tcPr>
            <w:tcW w:w="1391" w:type="pct"/>
            <w:noWrap/>
            <w:tcMar>
              <w:top w:w="15" w:type="dxa"/>
              <w:left w:w="15" w:type="dxa"/>
              <w:bottom w:w="0" w:type="dxa"/>
              <w:right w:w="15" w:type="dxa"/>
            </w:tcMar>
            <w:vAlign w:val="bottom"/>
          </w:tcPr>
          <w:p w:rsidR="00D7257A" w:rsidRPr="00894AB4" w:rsidRDefault="00D7257A" w:rsidP="00306013">
            <w:pPr>
              <w:ind w:left="126"/>
              <w:jc w:val="left"/>
              <w:rPr>
                <w:rFonts w:eastAsia="Arial Unicode MS" w:cs="Arial"/>
              </w:rPr>
            </w:pPr>
            <w:r>
              <w:rPr>
                <w:rFonts w:eastAsia="Arial" w:cs="Arial"/>
                <w:szCs w:val="20"/>
                <w:bdr w:val="nil"/>
                <w:lang w:val="nl-BE"/>
              </w:rPr>
              <w:t>B (05 tot 09)</w:t>
            </w:r>
          </w:p>
        </w:tc>
        <w:tc>
          <w:tcPr>
            <w:tcW w:w="3609" w:type="pct"/>
            <w:noWrap/>
            <w:tcMar>
              <w:top w:w="15" w:type="dxa"/>
              <w:left w:w="15" w:type="dxa"/>
              <w:bottom w:w="0" w:type="dxa"/>
              <w:right w:w="15" w:type="dxa"/>
            </w:tcMar>
            <w:vAlign w:val="bottom"/>
          </w:tcPr>
          <w:p w:rsidR="00D7257A" w:rsidRPr="00894AB4" w:rsidRDefault="00D7257A" w:rsidP="00306013">
            <w:pPr>
              <w:ind w:left="126"/>
              <w:jc w:val="left"/>
              <w:rPr>
                <w:rFonts w:eastAsia="Arial Unicode MS" w:cs="Arial"/>
              </w:rPr>
            </w:pPr>
            <w:r>
              <w:rPr>
                <w:rFonts w:eastAsia="Arial" w:cs="Arial"/>
                <w:szCs w:val="20"/>
                <w:bdr w:val="nil"/>
                <w:lang w:val="nl-BE"/>
              </w:rPr>
              <w:t>Winning van delfstoffen</w:t>
            </w:r>
          </w:p>
        </w:tc>
      </w:tr>
      <w:tr w:rsidR="00D7257A" w:rsidTr="00306013">
        <w:trPr>
          <w:trHeight w:val="227"/>
        </w:trPr>
        <w:tc>
          <w:tcPr>
            <w:tcW w:w="1391" w:type="pct"/>
            <w:noWrap/>
            <w:tcMar>
              <w:top w:w="15" w:type="dxa"/>
              <w:left w:w="15" w:type="dxa"/>
              <w:bottom w:w="0" w:type="dxa"/>
              <w:right w:w="15" w:type="dxa"/>
            </w:tcMar>
            <w:vAlign w:val="bottom"/>
          </w:tcPr>
          <w:p w:rsidR="00D7257A" w:rsidRPr="00894AB4" w:rsidRDefault="00D7257A" w:rsidP="00306013">
            <w:pPr>
              <w:ind w:left="126"/>
              <w:jc w:val="left"/>
              <w:rPr>
                <w:rFonts w:eastAsia="Arial Unicode MS" w:cs="Arial"/>
              </w:rPr>
            </w:pPr>
            <w:r>
              <w:rPr>
                <w:rFonts w:eastAsia="Arial" w:cs="Arial"/>
                <w:szCs w:val="20"/>
                <w:bdr w:val="nil"/>
                <w:lang w:val="nl-BE"/>
              </w:rPr>
              <w:t>C (10 tot 33)</w:t>
            </w:r>
          </w:p>
        </w:tc>
        <w:tc>
          <w:tcPr>
            <w:tcW w:w="3609" w:type="pct"/>
            <w:noWrap/>
            <w:tcMar>
              <w:top w:w="15" w:type="dxa"/>
              <w:left w:w="15" w:type="dxa"/>
              <w:bottom w:w="0" w:type="dxa"/>
              <w:right w:w="15" w:type="dxa"/>
            </w:tcMar>
            <w:vAlign w:val="bottom"/>
          </w:tcPr>
          <w:p w:rsidR="00D7257A" w:rsidRPr="00894AB4" w:rsidRDefault="00D7257A" w:rsidP="00306013">
            <w:pPr>
              <w:ind w:left="126"/>
              <w:jc w:val="left"/>
              <w:rPr>
                <w:rFonts w:eastAsia="Arial Unicode MS" w:cs="Arial"/>
              </w:rPr>
            </w:pPr>
            <w:r>
              <w:rPr>
                <w:rFonts w:eastAsia="Arial" w:cs="Arial"/>
                <w:szCs w:val="20"/>
                <w:bdr w:val="nil"/>
                <w:lang w:val="nl-BE"/>
              </w:rPr>
              <w:t>Verwerkende nijverheid</w:t>
            </w:r>
          </w:p>
        </w:tc>
      </w:tr>
      <w:tr w:rsidR="00D7257A" w:rsidRPr="00A22E25" w:rsidTr="00306013">
        <w:trPr>
          <w:trHeight w:val="225"/>
        </w:trPr>
        <w:tc>
          <w:tcPr>
            <w:tcW w:w="1391" w:type="pct"/>
            <w:noWrap/>
            <w:tcMar>
              <w:top w:w="15" w:type="dxa"/>
              <w:left w:w="15" w:type="dxa"/>
              <w:bottom w:w="0" w:type="dxa"/>
              <w:right w:w="15" w:type="dxa"/>
            </w:tcMar>
            <w:vAlign w:val="bottom"/>
          </w:tcPr>
          <w:p w:rsidR="00D7257A" w:rsidRPr="00482D14" w:rsidRDefault="00D7257A" w:rsidP="00306013">
            <w:pPr>
              <w:ind w:left="126"/>
              <w:jc w:val="left"/>
              <w:rPr>
                <w:rFonts w:eastAsia="Arial Unicode MS" w:cs="Arial"/>
              </w:rPr>
            </w:pPr>
            <w:r>
              <w:rPr>
                <w:rFonts w:eastAsia="Arial" w:cs="Arial"/>
                <w:szCs w:val="20"/>
                <w:bdr w:val="nil"/>
                <w:lang w:val="nl-BE"/>
              </w:rPr>
              <w:t>D (35)</w:t>
            </w:r>
          </w:p>
        </w:tc>
        <w:tc>
          <w:tcPr>
            <w:tcW w:w="3609" w:type="pct"/>
            <w:noWrap/>
            <w:tcMar>
              <w:top w:w="15" w:type="dxa"/>
              <w:left w:w="15" w:type="dxa"/>
              <w:bottom w:w="0" w:type="dxa"/>
              <w:right w:w="15" w:type="dxa"/>
            </w:tcMar>
            <w:vAlign w:val="bottom"/>
          </w:tcPr>
          <w:p w:rsidR="00D7257A" w:rsidRPr="00A22E25" w:rsidRDefault="00D7257A" w:rsidP="00306013">
            <w:pPr>
              <w:ind w:left="126"/>
              <w:jc w:val="left"/>
              <w:rPr>
                <w:rFonts w:eastAsia="Arial Unicode MS" w:cs="Arial"/>
                <w:lang w:val="nl-BE"/>
              </w:rPr>
            </w:pPr>
            <w:r>
              <w:rPr>
                <w:rFonts w:eastAsia="Arial" w:cs="Arial"/>
                <w:szCs w:val="20"/>
                <w:bdr w:val="nil"/>
                <w:lang w:val="nl-BE"/>
              </w:rPr>
              <w:t>Productie en distributie van elektriciteit, gas, stoom en warm water</w:t>
            </w:r>
          </w:p>
        </w:tc>
      </w:tr>
      <w:tr w:rsidR="00D7257A" w:rsidRPr="00A22E25" w:rsidTr="00306013">
        <w:trPr>
          <w:trHeight w:val="225"/>
        </w:trPr>
        <w:tc>
          <w:tcPr>
            <w:tcW w:w="1391" w:type="pct"/>
            <w:noWrap/>
            <w:tcMar>
              <w:top w:w="15" w:type="dxa"/>
              <w:left w:w="15" w:type="dxa"/>
              <w:bottom w:w="0" w:type="dxa"/>
              <w:right w:w="15" w:type="dxa"/>
            </w:tcMar>
            <w:vAlign w:val="bottom"/>
          </w:tcPr>
          <w:p w:rsidR="00D7257A" w:rsidRPr="00482D14" w:rsidRDefault="00D7257A" w:rsidP="00306013">
            <w:pPr>
              <w:ind w:left="126"/>
              <w:jc w:val="left"/>
              <w:rPr>
                <w:rFonts w:eastAsia="Arial Unicode MS" w:cs="Arial"/>
              </w:rPr>
            </w:pPr>
            <w:r>
              <w:rPr>
                <w:rFonts w:eastAsia="Arial" w:cs="Arial"/>
                <w:szCs w:val="20"/>
                <w:bdr w:val="nil"/>
                <w:lang w:val="nl-BE"/>
              </w:rPr>
              <w:t xml:space="preserve">E (36 tot 39) </w:t>
            </w:r>
          </w:p>
        </w:tc>
        <w:tc>
          <w:tcPr>
            <w:tcW w:w="3609" w:type="pct"/>
            <w:noWrap/>
            <w:tcMar>
              <w:top w:w="15" w:type="dxa"/>
              <w:left w:w="15" w:type="dxa"/>
              <w:bottom w:w="0" w:type="dxa"/>
              <w:right w:w="15" w:type="dxa"/>
            </w:tcMar>
            <w:vAlign w:val="bottom"/>
          </w:tcPr>
          <w:p w:rsidR="00D7257A" w:rsidRPr="00A22E25" w:rsidRDefault="00D7257A" w:rsidP="00306013">
            <w:pPr>
              <w:ind w:left="126"/>
              <w:jc w:val="left"/>
              <w:rPr>
                <w:rFonts w:eastAsia="Arial Unicode MS" w:cs="Arial"/>
                <w:lang w:val="nl-BE"/>
              </w:rPr>
            </w:pPr>
            <w:r>
              <w:rPr>
                <w:rFonts w:eastAsia="Arial" w:cs="Arial"/>
                <w:szCs w:val="20"/>
                <w:bdr w:val="nil"/>
                <w:lang w:val="nl-BE"/>
              </w:rPr>
              <w:t>Distributie van water; afval- en afvalwaterbeheer en sanering</w:t>
            </w:r>
          </w:p>
        </w:tc>
      </w:tr>
      <w:tr w:rsidR="00D7257A" w:rsidTr="00306013">
        <w:trPr>
          <w:trHeight w:val="225"/>
        </w:trPr>
        <w:tc>
          <w:tcPr>
            <w:tcW w:w="1391" w:type="pct"/>
            <w:noWrap/>
            <w:tcMar>
              <w:top w:w="15" w:type="dxa"/>
              <w:left w:w="15" w:type="dxa"/>
              <w:bottom w:w="0" w:type="dxa"/>
              <w:right w:w="15" w:type="dxa"/>
            </w:tcMar>
            <w:vAlign w:val="bottom"/>
          </w:tcPr>
          <w:p w:rsidR="00D7257A" w:rsidRPr="00482D14" w:rsidRDefault="00D7257A" w:rsidP="00306013">
            <w:pPr>
              <w:ind w:left="126"/>
              <w:jc w:val="left"/>
              <w:rPr>
                <w:rFonts w:eastAsia="Arial Unicode MS" w:cs="Arial"/>
              </w:rPr>
            </w:pPr>
            <w:r>
              <w:rPr>
                <w:rFonts w:eastAsia="Arial" w:cs="Arial"/>
                <w:szCs w:val="20"/>
                <w:bdr w:val="nil"/>
                <w:lang w:val="nl-BE"/>
              </w:rPr>
              <w:t>F (41 tot 43)</w:t>
            </w:r>
          </w:p>
        </w:tc>
        <w:tc>
          <w:tcPr>
            <w:tcW w:w="3609" w:type="pct"/>
            <w:noWrap/>
            <w:tcMar>
              <w:top w:w="15" w:type="dxa"/>
              <w:left w:w="15" w:type="dxa"/>
              <w:bottom w:w="0" w:type="dxa"/>
              <w:right w:w="15" w:type="dxa"/>
            </w:tcMar>
            <w:vAlign w:val="bottom"/>
          </w:tcPr>
          <w:p w:rsidR="00D7257A" w:rsidRPr="00482D14" w:rsidRDefault="00D7257A" w:rsidP="00306013">
            <w:pPr>
              <w:ind w:left="126"/>
              <w:jc w:val="left"/>
              <w:rPr>
                <w:rFonts w:eastAsia="Arial Unicode MS" w:cs="Arial"/>
              </w:rPr>
            </w:pPr>
            <w:r>
              <w:rPr>
                <w:rFonts w:eastAsia="Arial" w:cs="Arial"/>
                <w:szCs w:val="20"/>
                <w:bdr w:val="nil"/>
                <w:lang w:val="nl-BE"/>
              </w:rPr>
              <w:t>Bouwsector</w:t>
            </w:r>
          </w:p>
        </w:tc>
      </w:tr>
      <w:tr w:rsidR="00D7257A" w:rsidRPr="00A22E25" w:rsidTr="00306013">
        <w:trPr>
          <w:trHeight w:val="225"/>
        </w:trPr>
        <w:tc>
          <w:tcPr>
            <w:tcW w:w="1391" w:type="pct"/>
            <w:noWrap/>
            <w:tcMar>
              <w:top w:w="15" w:type="dxa"/>
              <w:left w:w="15" w:type="dxa"/>
              <w:bottom w:w="0" w:type="dxa"/>
              <w:right w:w="15" w:type="dxa"/>
            </w:tcMar>
            <w:vAlign w:val="bottom"/>
          </w:tcPr>
          <w:p w:rsidR="00D7257A" w:rsidRPr="00482D14" w:rsidRDefault="00D7257A" w:rsidP="00306013">
            <w:pPr>
              <w:ind w:left="126"/>
              <w:jc w:val="left"/>
              <w:rPr>
                <w:rFonts w:eastAsia="Arial Unicode MS" w:cs="Arial"/>
              </w:rPr>
            </w:pPr>
            <w:r>
              <w:rPr>
                <w:rFonts w:eastAsia="Arial" w:cs="Arial"/>
                <w:szCs w:val="20"/>
                <w:bdr w:val="nil"/>
                <w:lang w:val="nl-BE"/>
              </w:rPr>
              <w:t>G (45 tot 47)</w:t>
            </w:r>
          </w:p>
        </w:tc>
        <w:tc>
          <w:tcPr>
            <w:tcW w:w="3609" w:type="pct"/>
            <w:noWrap/>
            <w:tcMar>
              <w:top w:w="15" w:type="dxa"/>
              <w:left w:w="15" w:type="dxa"/>
              <w:bottom w:w="0" w:type="dxa"/>
              <w:right w:w="15" w:type="dxa"/>
            </w:tcMar>
            <w:vAlign w:val="bottom"/>
          </w:tcPr>
          <w:p w:rsidR="00D7257A" w:rsidRPr="00A22E25" w:rsidRDefault="00D7257A" w:rsidP="00306013">
            <w:pPr>
              <w:ind w:left="126"/>
              <w:jc w:val="left"/>
              <w:rPr>
                <w:rFonts w:eastAsia="Arial Unicode MS" w:cs="Arial"/>
                <w:lang w:val="nl-BE"/>
              </w:rPr>
            </w:pPr>
            <w:r>
              <w:rPr>
                <w:rFonts w:eastAsia="Arial" w:cs="Arial"/>
                <w:szCs w:val="20"/>
                <w:bdr w:val="nil"/>
                <w:lang w:val="nl-BE"/>
              </w:rPr>
              <w:t>Groot- en detailhandel; reparatie van voertuigen</w:t>
            </w:r>
          </w:p>
        </w:tc>
      </w:tr>
      <w:tr w:rsidR="00D7257A" w:rsidTr="00306013">
        <w:trPr>
          <w:trHeight w:val="225"/>
        </w:trPr>
        <w:tc>
          <w:tcPr>
            <w:tcW w:w="1391" w:type="pct"/>
            <w:noWrap/>
            <w:tcMar>
              <w:top w:w="15" w:type="dxa"/>
              <w:left w:w="15" w:type="dxa"/>
              <w:bottom w:w="0" w:type="dxa"/>
              <w:right w:w="15" w:type="dxa"/>
            </w:tcMar>
            <w:vAlign w:val="bottom"/>
          </w:tcPr>
          <w:p w:rsidR="00D7257A" w:rsidRPr="00482D14" w:rsidRDefault="00D7257A" w:rsidP="00306013">
            <w:pPr>
              <w:ind w:left="126"/>
              <w:jc w:val="left"/>
              <w:rPr>
                <w:rFonts w:eastAsia="Arial Unicode MS" w:cs="Arial"/>
              </w:rPr>
            </w:pPr>
            <w:r>
              <w:rPr>
                <w:rFonts w:eastAsia="Arial" w:cs="Arial"/>
                <w:szCs w:val="20"/>
                <w:bdr w:val="nil"/>
                <w:lang w:val="nl-BE"/>
              </w:rPr>
              <w:t>H (49 tot 53)</w:t>
            </w:r>
          </w:p>
        </w:tc>
        <w:tc>
          <w:tcPr>
            <w:tcW w:w="3609" w:type="pct"/>
            <w:noWrap/>
            <w:tcMar>
              <w:top w:w="15" w:type="dxa"/>
              <w:left w:w="15" w:type="dxa"/>
              <w:bottom w:w="0" w:type="dxa"/>
              <w:right w:w="15" w:type="dxa"/>
            </w:tcMar>
            <w:vAlign w:val="bottom"/>
          </w:tcPr>
          <w:p w:rsidR="00D7257A" w:rsidRPr="00894AB4" w:rsidRDefault="00D7257A" w:rsidP="00306013">
            <w:pPr>
              <w:ind w:left="126"/>
              <w:jc w:val="left"/>
              <w:rPr>
                <w:rFonts w:eastAsia="Arial Unicode MS" w:cs="Arial"/>
              </w:rPr>
            </w:pPr>
            <w:r>
              <w:rPr>
                <w:rFonts w:eastAsia="Arial" w:cs="Arial"/>
                <w:szCs w:val="20"/>
                <w:bdr w:val="nil"/>
                <w:lang w:val="nl-BE"/>
              </w:rPr>
              <w:t>Vervoer en opslag</w:t>
            </w:r>
          </w:p>
        </w:tc>
      </w:tr>
      <w:tr w:rsidR="00D7257A" w:rsidTr="00306013">
        <w:trPr>
          <w:trHeight w:val="225"/>
        </w:trPr>
        <w:tc>
          <w:tcPr>
            <w:tcW w:w="1391" w:type="pct"/>
            <w:noWrap/>
            <w:tcMar>
              <w:top w:w="15" w:type="dxa"/>
              <w:left w:w="15" w:type="dxa"/>
              <w:bottom w:w="0" w:type="dxa"/>
              <w:right w:w="15" w:type="dxa"/>
            </w:tcMar>
            <w:vAlign w:val="bottom"/>
          </w:tcPr>
          <w:p w:rsidR="00D7257A" w:rsidRPr="00482D14" w:rsidRDefault="00D7257A" w:rsidP="00306013">
            <w:pPr>
              <w:ind w:left="126"/>
              <w:jc w:val="left"/>
              <w:rPr>
                <w:rFonts w:eastAsia="Arial Unicode MS" w:cs="Arial"/>
              </w:rPr>
            </w:pPr>
            <w:r>
              <w:rPr>
                <w:rFonts w:eastAsia="Arial" w:cs="Arial"/>
                <w:szCs w:val="20"/>
                <w:bdr w:val="nil"/>
                <w:lang w:val="nl-BE"/>
              </w:rPr>
              <w:t>I (55 tot 56)</w:t>
            </w:r>
          </w:p>
        </w:tc>
        <w:tc>
          <w:tcPr>
            <w:tcW w:w="3609" w:type="pct"/>
            <w:noWrap/>
            <w:tcMar>
              <w:top w:w="15" w:type="dxa"/>
              <w:left w:w="15" w:type="dxa"/>
              <w:bottom w:w="0" w:type="dxa"/>
              <w:right w:w="15" w:type="dxa"/>
            </w:tcMar>
            <w:vAlign w:val="bottom"/>
          </w:tcPr>
          <w:p w:rsidR="00D7257A" w:rsidRPr="00894AB4" w:rsidRDefault="00D7257A" w:rsidP="00306013">
            <w:pPr>
              <w:ind w:left="126"/>
              <w:jc w:val="left"/>
              <w:rPr>
                <w:rFonts w:eastAsia="Arial Unicode MS" w:cs="Arial"/>
              </w:rPr>
            </w:pPr>
            <w:r>
              <w:rPr>
                <w:rFonts w:eastAsia="Arial" w:cs="Arial"/>
                <w:szCs w:val="20"/>
                <w:bdr w:val="nil"/>
                <w:lang w:val="nl-BE"/>
              </w:rPr>
              <w:t>Hotels en restaurants</w:t>
            </w:r>
          </w:p>
        </w:tc>
      </w:tr>
      <w:tr w:rsidR="00D7257A" w:rsidTr="00306013">
        <w:trPr>
          <w:trHeight w:val="225"/>
        </w:trPr>
        <w:tc>
          <w:tcPr>
            <w:tcW w:w="1391" w:type="pct"/>
            <w:noWrap/>
            <w:tcMar>
              <w:top w:w="15" w:type="dxa"/>
              <w:left w:w="15" w:type="dxa"/>
              <w:bottom w:w="0" w:type="dxa"/>
              <w:right w:w="15" w:type="dxa"/>
            </w:tcMar>
            <w:vAlign w:val="bottom"/>
          </w:tcPr>
          <w:p w:rsidR="00D7257A" w:rsidRPr="00482D14" w:rsidRDefault="00D7257A" w:rsidP="00306013">
            <w:pPr>
              <w:ind w:left="126"/>
              <w:jc w:val="left"/>
              <w:rPr>
                <w:rFonts w:eastAsia="Arial Unicode MS" w:cs="Arial"/>
              </w:rPr>
            </w:pPr>
            <w:r>
              <w:rPr>
                <w:rFonts w:eastAsia="Arial" w:cs="Arial"/>
                <w:szCs w:val="20"/>
                <w:bdr w:val="nil"/>
                <w:lang w:val="nl-BE"/>
              </w:rPr>
              <w:t>J (58 tot 63)</w:t>
            </w:r>
          </w:p>
        </w:tc>
        <w:tc>
          <w:tcPr>
            <w:tcW w:w="3609" w:type="pct"/>
            <w:noWrap/>
            <w:tcMar>
              <w:top w:w="15" w:type="dxa"/>
              <w:left w:w="15" w:type="dxa"/>
              <w:bottom w:w="0" w:type="dxa"/>
              <w:right w:w="15" w:type="dxa"/>
            </w:tcMar>
            <w:vAlign w:val="bottom"/>
          </w:tcPr>
          <w:p w:rsidR="00D7257A" w:rsidRPr="00894AB4" w:rsidRDefault="00D7257A" w:rsidP="00306013">
            <w:pPr>
              <w:ind w:left="126"/>
              <w:jc w:val="left"/>
              <w:rPr>
                <w:rFonts w:eastAsia="Arial Unicode MS" w:cs="Arial"/>
              </w:rPr>
            </w:pPr>
            <w:r>
              <w:rPr>
                <w:rFonts w:eastAsia="Arial" w:cs="Arial"/>
                <w:szCs w:val="20"/>
                <w:bdr w:val="nil"/>
                <w:lang w:val="nl-BE"/>
              </w:rPr>
              <w:t>Informatie en communicatie</w:t>
            </w:r>
          </w:p>
        </w:tc>
      </w:tr>
      <w:tr w:rsidR="00D7257A" w:rsidTr="00306013">
        <w:trPr>
          <w:trHeight w:val="225"/>
        </w:trPr>
        <w:tc>
          <w:tcPr>
            <w:tcW w:w="1391" w:type="pct"/>
            <w:noWrap/>
            <w:tcMar>
              <w:top w:w="15" w:type="dxa"/>
              <w:left w:w="15" w:type="dxa"/>
              <w:bottom w:w="0" w:type="dxa"/>
              <w:right w:w="15" w:type="dxa"/>
            </w:tcMar>
            <w:vAlign w:val="bottom"/>
          </w:tcPr>
          <w:p w:rsidR="00D7257A" w:rsidRPr="00894AB4" w:rsidRDefault="00D7257A" w:rsidP="00306013">
            <w:pPr>
              <w:ind w:left="126"/>
              <w:jc w:val="left"/>
              <w:rPr>
                <w:rFonts w:eastAsia="Arial Unicode MS" w:cs="Arial"/>
              </w:rPr>
            </w:pPr>
            <w:r>
              <w:rPr>
                <w:rFonts w:eastAsia="Arial" w:cs="Arial"/>
                <w:szCs w:val="20"/>
                <w:bdr w:val="nil"/>
                <w:lang w:val="nl-BE"/>
              </w:rPr>
              <w:t>K (64 tot 66)</w:t>
            </w:r>
          </w:p>
        </w:tc>
        <w:tc>
          <w:tcPr>
            <w:tcW w:w="3609" w:type="pct"/>
            <w:noWrap/>
            <w:tcMar>
              <w:top w:w="15" w:type="dxa"/>
              <w:left w:w="15" w:type="dxa"/>
              <w:bottom w:w="0" w:type="dxa"/>
              <w:right w:w="15" w:type="dxa"/>
            </w:tcMar>
            <w:vAlign w:val="bottom"/>
          </w:tcPr>
          <w:p w:rsidR="00D7257A" w:rsidRPr="00894AB4" w:rsidRDefault="00D7257A" w:rsidP="00306013">
            <w:pPr>
              <w:ind w:left="126"/>
              <w:jc w:val="left"/>
              <w:rPr>
                <w:rFonts w:eastAsia="Arial Unicode MS" w:cs="Arial"/>
              </w:rPr>
            </w:pPr>
            <w:r>
              <w:rPr>
                <w:rFonts w:eastAsia="Arial" w:cs="Arial"/>
                <w:szCs w:val="20"/>
                <w:bdr w:val="nil"/>
                <w:lang w:val="nl-BE"/>
              </w:rPr>
              <w:t>Financiële en verzekeringsactiviteiten</w:t>
            </w:r>
          </w:p>
        </w:tc>
      </w:tr>
      <w:tr w:rsidR="00D7257A" w:rsidTr="00306013">
        <w:trPr>
          <w:trHeight w:val="225"/>
        </w:trPr>
        <w:tc>
          <w:tcPr>
            <w:tcW w:w="1391" w:type="pct"/>
            <w:noWrap/>
            <w:tcMar>
              <w:top w:w="15" w:type="dxa"/>
              <w:left w:w="15" w:type="dxa"/>
              <w:bottom w:w="0" w:type="dxa"/>
              <w:right w:w="15" w:type="dxa"/>
            </w:tcMar>
            <w:vAlign w:val="bottom"/>
          </w:tcPr>
          <w:p w:rsidR="00D7257A" w:rsidRPr="00894AB4" w:rsidRDefault="00D7257A" w:rsidP="00306013">
            <w:pPr>
              <w:ind w:left="126"/>
              <w:jc w:val="left"/>
              <w:rPr>
                <w:rFonts w:eastAsia="Arial Unicode MS" w:cs="Arial"/>
              </w:rPr>
            </w:pPr>
            <w:r>
              <w:rPr>
                <w:rFonts w:eastAsia="Arial" w:cs="Arial"/>
                <w:szCs w:val="20"/>
                <w:bdr w:val="nil"/>
                <w:lang w:val="nl-BE"/>
              </w:rPr>
              <w:t>L (68)</w:t>
            </w:r>
          </w:p>
        </w:tc>
        <w:tc>
          <w:tcPr>
            <w:tcW w:w="3609" w:type="pct"/>
            <w:noWrap/>
            <w:tcMar>
              <w:top w:w="15" w:type="dxa"/>
              <w:left w:w="15" w:type="dxa"/>
              <w:bottom w:w="0" w:type="dxa"/>
              <w:right w:w="15" w:type="dxa"/>
            </w:tcMar>
            <w:vAlign w:val="bottom"/>
          </w:tcPr>
          <w:p w:rsidR="00D7257A" w:rsidRPr="00894AB4" w:rsidRDefault="00D7257A" w:rsidP="00306013">
            <w:pPr>
              <w:ind w:left="126"/>
              <w:jc w:val="left"/>
              <w:rPr>
                <w:rFonts w:eastAsia="Arial Unicode MS" w:cs="Arial"/>
              </w:rPr>
            </w:pPr>
            <w:r>
              <w:rPr>
                <w:rFonts w:eastAsia="Arial" w:cs="Arial"/>
                <w:szCs w:val="20"/>
                <w:bdr w:val="nil"/>
                <w:lang w:val="nl-BE"/>
              </w:rPr>
              <w:t>Vastgoedactiviteiten</w:t>
            </w:r>
          </w:p>
        </w:tc>
      </w:tr>
      <w:tr w:rsidR="00D7257A" w:rsidRPr="00A22E25" w:rsidTr="00306013">
        <w:trPr>
          <w:trHeight w:val="225"/>
        </w:trPr>
        <w:tc>
          <w:tcPr>
            <w:tcW w:w="1391" w:type="pct"/>
            <w:noWrap/>
            <w:tcMar>
              <w:top w:w="15" w:type="dxa"/>
              <w:left w:w="15" w:type="dxa"/>
              <w:bottom w:w="0" w:type="dxa"/>
              <w:right w:w="15" w:type="dxa"/>
            </w:tcMar>
            <w:vAlign w:val="bottom"/>
          </w:tcPr>
          <w:p w:rsidR="00D7257A" w:rsidRPr="00894AB4" w:rsidRDefault="00D7257A" w:rsidP="00306013">
            <w:pPr>
              <w:ind w:left="126"/>
              <w:jc w:val="left"/>
              <w:rPr>
                <w:rFonts w:eastAsia="Arial Unicode MS" w:cs="Arial"/>
              </w:rPr>
            </w:pPr>
            <w:r>
              <w:rPr>
                <w:rFonts w:eastAsia="Arial" w:cs="Arial"/>
                <w:szCs w:val="20"/>
                <w:bdr w:val="nil"/>
                <w:lang w:val="nl-BE"/>
              </w:rPr>
              <w:t>M (69 tot 75)</w:t>
            </w:r>
          </w:p>
        </w:tc>
        <w:tc>
          <w:tcPr>
            <w:tcW w:w="3609" w:type="pct"/>
            <w:noWrap/>
            <w:tcMar>
              <w:top w:w="15" w:type="dxa"/>
              <w:left w:w="15" w:type="dxa"/>
              <w:bottom w:w="0" w:type="dxa"/>
              <w:right w:w="15" w:type="dxa"/>
            </w:tcMar>
            <w:vAlign w:val="bottom"/>
          </w:tcPr>
          <w:p w:rsidR="00D7257A" w:rsidRPr="00A22E25" w:rsidRDefault="00D7257A" w:rsidP="00306013">
            <w:pPr>
              <w:ind w:left="126"/>
              <w:jc w:val="left"/>
              <w:rPr>
                <w:rFonts w:eastAsia="Arial Unicode MS" w:cs="Arial"/>
                <w:lang w:val="nl-BE"/>
              </w:rPr>
            </w:pPr>
            <w:r>
              <w:rPr>
                <w:rFonts w:eastAsia="Arial" w:cs="Arial"/>
                <w:szCs w:val="20"/>
                <w:bdr w:val="nil"/>
                <w:lang w:val="nl-BE"/>
              </w:rPr>
              <w:t>Gespecialiseerde, wetenschappelijke en technische handelsactiviteiten</w:t>
            </w:r>
          </w:p>
        </w:tc>
      </w:tr>
      <w:tr w:rsidR="00D7257A" w:rsidTr="00306013">
        <w:trPr>
          <w:trHeight w:val="225"/>
        </w:trPr>
        <w:tc>
          <w:tcPr>
            <w:tcW w:w="1391" w:type="pct"/>
            <w:noWrap/>
            <w:tcMar>
              <w:top w:w="15" w:type="dxa"/>
              <w:left w:w="15" w:type="dxa"/>
              <w:bottom w:w="0" w:type="dxa"/>
              <w:right w:w="15" w:type="dxa"/>
            </w:tcMar>
            <w:vAlign w:val="bottom"/>
          </w:tcPr>
          <w:p w:rsidR="00D7257A" w:rsidRPr="00894AB4" w:rsidRDefault="00D7257A" w:rsidP="00306013">
            <w:pPr>
              <w:ind w:left="126"/>
              <w:jc w:val="left"/>
              <w:rPr>
                <w:rFonts w:eastAsia="Arial Unicode MS" w:cs="Arial"/>
              </w:rPr>
            </w:pPr>
            <w:r>
              <w:rPr>
                <w:rFonts w:eastAsia="Arial" w:cs="Arial"/>
                <w:szCs w:val="20"/>
                <w:bdr w:val="nil"/>
                <w:lang w:val="nl-BE"/>
              </w:rPr>
              <w:t>N (77 tot 82)</w:t>
            </w:r>
          </w:p>
        </w:tc>
        <w:tc>
          <w:tcPr>
            <w:tcW w:w="3609" w:type="pct"/>
            <w:noWrap/>
            <w:tcMar>
              <w:top w:w="15" w:type="dxa"/>
              <w:left w:w="15" w:type="dxa"/>
              <w:bottom w:w="0" w:type="dxa"/>
              <w:right w:w="15" w:type="dxa"/>
            </w:tcMar>
            <w:vAlign w:val="bottom"/>
          </w:tcPr>
          <w:p w:rsidR="00D7257A" w:rsidRPr="00894AB4" w:rsidRDefault="00D7257A" w:rsidP="00306013">
            <w:pPr>
              <w:ind w:left="126"/>
              <w:jc w:val="left"/>
              <w:rPr>
                <w:rFonts w:eastAsia="Arial Unicode MS" w:cs="Arial"/>
              </w:rPr>
            </w:pPr>
            <w:r>
              <w:rPr>
                <w:rFonts w:eastAsia="Arial" w:cs="Arial"/>
                <w:szCs w:val="20"/>
                <w:bdr w:val="nil"/>
                <w:lang w:val="nl-BE"/>
              </w:rPr>
              <w:t>Administratieve diensten en ondersteuningsactiviteiten</w:t>
            </w:r>
          </w:p>
        </w:tc>
      </w:tr>
      <w:tr w:rsidR="00D7257A" w:rsidRPr="00A22E25" w:rsidTr="00306013">
        <w:trPr>
          <w:trHeight w:val="225"/>
        </w:trPr>
        <w:tc>
          <w:tcPr>
            <w:tcW w:w="1391" w:type="pct"/>
            <w:noWrap/>
            <w:tcMar>
              <w:top w:w="15" w:type="dxa"/>
              <w:left w:w="15" w:type="dxa"/>
              <w:bottom w:w="0" w:type="dxa"/>
              <w:right w:w="15" w:type="dxa"/>
            </w:tcMar>
            <w:vAlign w:val="bottom"/>
          </w:tcPr>
          <w:p w:rsidR="00D7257A" w:rsidRPr="00894AB4" w:rsidRDefault="00D7257A" w:rsidP="00306013">
            <w:pPr>
              <w:ind w:left="126"/>
              <w:jc w:val="left"/>
              <w:rPr>
                <w:rFonts w:eastAsia="Arial Unicode MS" w:cs="Arial"/>
              </w:rPr>
            </w:pPr>
            <w:r>
              <w:rPr>
                <w:rFonts w:eastAsia="Arial" w:cs="Arial"/>
                <w:szCs w:val="20"/>
                <w:bdr w:val="nil"/>
                <w:lang w:val="nl-BE"/>
              </w:rPr>
              <w:t>O (84)</w:t>
            </w:r>
          </w:p>
        </w:tc>
        <w:tc>
          <w:tcPr>
            <w:tcW w:w="3609" w:type="pct"/>
            <w:noWrap/>
            <w:tcMar>
              <w:top w:w="15" w:type="dxa"/>
              <w:left w:w="15" w:type="dxa"/>
              <w:bottom w:w="0" w:type="dxa"/>
              <w:right w:w="15" w:type="dxa"/>
            </w:tcMar>
            <w:vAlign w:val="bottom"/>
          </w:tcPr>
          <w:p w:rsidR="00D7257A" w:rsidRPr="00A22E25" w:rsidRDefault="00D7257A" w:rsidP="00306013">
            <w:pPr>
              <w:ind w:left="126"/>
              <w:jc w:val="left"/>
              <w:rPr>
                <w:rFonts w:eastAsia="Arial Unicode MS" w:cs="Arial"/>
                <w:lang w:val="nl-BE"/>
              </w:rPr>
            </w:pPr>
            <w:r>
              <w:rPr>
                <w:rFonts w:eastAsia="Arial" w:cs="Arial"/>
                <w:szCs w:val="20"/>
                <w:bdr w:val="nil"/>
                <w:lang w:val="nl-BE"/>
              </w:rPr>
              <w:t>Openbaar bestuur en defensie, verplichte sociale verzekering</w:t>
            </w:r>
          </w:p>
        </w:tc>
      </w:tr>
      <w:tr w:rsidR="00D7257A" w:rsidTr="00306013">
        <w:trPr>
          <w:trHeight w:val="225"/>
        </w:trPr>
        <w:tc>
          <w:tcPr>
            <w:tcW w:w="1391" w:type="pct"/>
            <w:noWrap/>
            <w:tcMar>
              <w:top w:w="15" w:type="dxa"/>
              <w:left w:w="15" w:type="dxa"/>
              <w:bottom w:w="0" w:type="dxa"/>
              <w:right w:w="15" w:type="dxa"/>
            </w:tcMar>
            <w:vAlign w:val="bottom"/>
          </w:tcPr>
          <w:p w:rsidR="00D7257A" w:rsidRPr="00894AB4" w:rsidRDefault="00D7257A" w:rsidP="00306013">
            <w:pPr>
              <w:ind w:left="126"/>
              <w:jc w:val="left"/>
              <w:rPr>
                <w:rFonts w:eastAsia="Arial Unicode MS" w:cs="Arial"/>
              </w:rPr>
            </w:pPr>
            <w:r>
              <w:rPr>
                <w:rFonts w:eastAsia="Arial" w:cs="Arial"/>
                <w:szCs w:val="20"/>
                <w:bdr w:val="nil"/>
                <w:lang w:val="nl-BE"/>
              </w:rPr>
              <w:t>P (85)</w:t>
            </w:r>
          </w:p>
        </w:tc>
        <w:tc>
          <w:tcPr>
            <w:tcW w:w="3609" w:type="pct"/>
            <w:noWrap/>
            <w:tcMar>
              <w:top w:w="15" w:type="dxa"/>
              <w:left w:w="15" w:type="dxa"/>
              <w:bottom w:w="0" w:type="dxa"/>
              <w:right w:w="15" w:type="dxa"/>
            </w:tcMar>
            <w:vAlign w:val="bottom"/>
          </w:tcPr>
          <w:p w:rsidR="00D7257A" w:rsidRPr="00894AB4" w:rsidRDefault="00D7257A" w:rsidP="00306013">
            <w:pPr>
              <w:ind w:left="126"/>
              <w:jc w:val="left"/>
              <w:rPr>
                <w:rFonts w:eastAsia="Arial Unicode MS" w:cs="Arial"/>
              </w:rPr>
            </w:pPr>
            <w:r>
              <w:rPr>
                <w:rFonts w:eastAsia="Arial" w:cs="Arial"/>
                <w:szCs w:val="20"/>
                <w:bdr w:val="nil"/>
                <w:lang w:val="nl-BE"/>
              </w:rPr>
              <w:t>Onderwijs</w:t>
            </w:r>
          </w:p>
        </w:tc>
      </w:tr>
      <w:tr w:rsidR="00D7257A" w:rsidTr="00306013">
        <w:trPr>
          <w:trHeight w:val="225"/>
        </w:trPr>
        <w:tc>
          <w:tcPr>
            <w:tcW w:w="1391" w:type="pct"/>
            <w:noWrap/>
            <w:tcMar>
              <w:top w:w="15" w:type="dxa"/>
              <w:left w:w="15" w:type="dxa"/>
              <w:bottom w:w="0" w:type="dxa"/>
              <w:right w:w="15" w:type="dxa"/>
            </w:tcMar>
            <w:vAlign w:val="bottom"/>
          </w:tcPr>
          <w:p w:rsidR="00D7257A" w:rsidRPr="00894AB4" w:rsidRDefault="00D7257A" w:rsidP="00306013">
            <w:pPr>
              <w:ind w:left="126"/>
              <w:jc w:val="left"/>
              <w:rPr>
                <w:rFonts w:eastAsia="Arial Unicode MS" w:cs="Arial"/>
              </w:rPr>
            </w:pPr>
            <w:r>
              <w:rPr>
                <w:rFonts w:eastAsia="Arial" w:cs="Arial"/>
                <w:szCs w:val="20"/>
                <w:bdr w:val="nil"/>
                <w:lang w:val="nl-BE"/>
              </w:rPr>
              <w:t>Q (86 tot 88)</w:t>
            </w:r>
          </w:p>
        </w:tc>
        <w:tc>
          <w:tcPr>
            <w:tcW w:w="3609" w:type="pct"/>
            <w:noWrap/>
            <w:tcMar>
              <w:top w:w="15" w:type="dxa"/>
              <w:left w:w="15" w:type="dxa"/>
              <w:bottom w:w="0" w:type="dxa"/>
              <w:right w:w="15" w:type="dxa"/>
            </w:tcMar>
            <w:vAlign w:val="bottom"/>
          </w:tcPr>
          <w:p w:rsidR="00D7257A" w:rsidRPr="00894AB4" w:rsidRDefault="00D7257A" w:rsidP="00306013">
            <w:pPr>
              <w:ind w:left="126"/>
              <w:jc w:val="left"/>
              <w:rPr>
                <w:rFonts w:eastAsia="Arial Unicode MS" w:cs="Arial"/>
              </w:rPr>
            </w:pPr>
            <w:r>
              <w:rPr>
                <w:rFonts w:eastAsia="Arial" w:cs="Arial"/>
                <w:szCs w:val="20"/>
                <w:bdr w:val="nil"/>
                <w:lang w:val="nl-BE"/>
              </w:rPr>
              <w:t>Gezondheidszorg en maatschappelijke dienstverlening</w:t>
            </w:r>
          </w:p>
        </w:tc>
      </w:tr>
      <w:tr w:rsidR="00D7257A" w:rsidTr="00306013">
        <w:trPr>
          <w:trHeight w:val="225"/>
        </w:trPr>
        <w:tc>
          <w:tcPr>
            <w:tcW w:w="1391" w:type="pct"/>
            <w:noWrap/>
            <w:tcMar>
              <w:top w:w="15" w:type="dxa"/>
              <w:left w:w="15" w:type="dxa"/>
              <w:bottom w:w="0" w:type="dxa"/>
              <w:right w:w="15" w:type="dxa"/>
            </w:tcMar>
            <w:vAlign w:val="bottom"/>
          </w:tcPr>
          <w:p w:rsidR="00D7257A" w:rsidRPr="00894AB4" w:rsidRDefault="00D7257A" w:rsidP="00306013">
            <w:pPr>
              <w:ind w:left="126"/>
              <w:jc w:val="left"/>
              <w:rPr>
                <w:rFonts w:eastAsia="Arial Unicode MS" w:cs="Arial"/>
              </w:rPr>
            </w:pPr>
            <w:r>
              <w:rPr>
                <w:rFonts w:eastAsia="Arial" w:cs="Arial"/>
                <w:szCs w:val="20"/>
                <w:bdr w:val="nil"/>
                <w:lang w:val="nl-BE"/>
              </w:rPr>
              <w:t>R (90 tot 93)</w:t>
            </w:r>
          </w:p>
        </w:tc>
        <w:tc>
          <w:tcPr>
            <w:tcW w:w="3609" w:type="pct"/>
            <w:noWrap/>
            <w:tcMar>
              <w:top w:w="15" w:type="dxa"/>
              <w:left w:w="15" w:type="dxa"/>
              <w:bottom w:w="0" w:type="dxa"/>
              <w:right w:w="15" w:type="dxa"/>
            </w:tcMar>
            <w:vAlign w:val="bottom"/>
          </w:tcPr>
          <w:p w:rsidR="00D7257A" w:rsidRPr="00894AB4" w:rsidRDefault="00D7257A" w:rsidP="00306013">
            <w:pPr>
              <w:ind w:left="126"/>
              <w:jc w:val="left"/>
              <w:rPr>
                <w:rFonts w:eastAsia="Arial Unicode MS" w:cs="Arial"/>
              </w:rPr>
            </w:pPr>
            <w:r>
              <w:rPr>
                <w:rFonts w:eastAsia="Arial" w:cs="Arial"/>
                <w:szCs w:val="20"/>
                <w:bdr w:val="nil"/>
                <w:lang w:val="nl-BE"/>
              </w:rPr>
              <w:t>Kunsten, voorstellingen en vrijetijdsactiviteiten</w:t>
            </w:r>
          </w:p>
        </w:tc>
      </w:tr>
      <w:tr w:rsidR="00D7257A" w:rsidTr="00306013">
        <w:trPr>
          <w:trHeight w:val="225"/>
        </w:trPr>
        <w:tc>
          <w:tcPr>
            <w:tcW w:w="1391" w:type="pct"/>
            <w:noWrap/>
            <w:tcMar>
              <w:top w:w="15" w:type="dxa"/>
              <w:left w:w="15" w:type="dxa"/>
              <w:bottom w:w="0" w:type="dxa"/>
              <w:right w:w="15" w:type="dxa"/>
            </w:tcMar>
            <w:vAlign w:val="bottom"/>
          </w:tcPr>
          <w:p w:rsidR="00D7257A" w:rsidRPr="00894AB4" w:rsidRDefault="00D7257A" w:rsidP="00306013">
            <w:pPr>
              <w:ind w:left="126"/>
              <w:jc w:val="left"/>
              <w:rPr>
                <w:rFonts w:eastAsia="Arial Unicode MS" w:cs="Arial"/>
              </w:rPr>
            </w:pPr>
            <w:r>
              <w:rPr>
                <w:rFonts w:eastAsia="Arial" w:cs="Arial"/>
                <w:szCs w:val="20"/>
                <w:bdr w:val="nil"/>
                <w:lang w:val="nl-BE"/>
              </w:rPr>
              <w:t>S (94 tot 96)</w:t>
            </w:r>
          </w:p>
        </w:tc>
        <w:tc>
          <w:tcPr>
            <w:tcW w:w="3609" w:type="pct"/>
            <w:noWrap/>
            <w:tcMar>
              <w:top w:w="15" w:type="dxa"/>
              <w:left w:w="15" w:type="dxa"/>
              <w:bottom w:w="0" w:type="dxa"/>
              <w:right w:w="15" w:type="dxa"/>
            </w:tcMar>
            <w:vAlign w:val="bottom"/>
          </w:tcPr>
          <w:p w:rsidR="00D7257A" w:rsidRPr="00894AB4" w:rsidRDefault="00D7257A" w:rsidP="00306013">
            <w:pPr>
              <w:ind w:left="126"/>
              <w:jc w:val="left"/>
              <w:rPr>
                <w:rFonts w:eastAsia="Arial Unicode MS" w:cs="Arial"/>
              </w:rPr>
            </w:pPr>
            <w:r>
              <w:rPr>
                <w:rFonts w:eastAsia="Arial" w:cs="Arial"/>
                <w:szCs w:val="20"/>
                <w:bdr w:val="nil"/>
                <w:lang w:val="nl-BE"/>
              </w:rPr>
              <w:t>Andere dienstenactiviteiten</w:t>
            </w:r>
          </w:p>
        </w:tc>
      </w:tr>
      <w:tr w:rsidR="00D7257A" w:rsidTr="00306013">
        <w:trPr>
          <w:trHeight w:val="225"/>
        </w:trPr>
        <w:tc>
          <w:tcPr>
            <w:tcW w:w="1391" w:type="pct"/>
            <w:noWrap/>
            <w:tcMar>
              <w:top w:w="15" w:type="dxa"/>
              <w:left w:w="15" w:type="dxa"/>
              <w:bottom w:w="0" w:type="dxa"/>
              <w:right w:w="15" w:type="dxa"/>
            </w:tcMar>
            <w:vAlign w:val="bottom"/>
          </w:tcPr>
          <w:p w:rsidR="00D7257A" w:rsidRPr="00894AB4" w:rsidRDefault="00D7257A" w:rsidP="00306013">
            <w:pPr>
              <w:ind w:left="126"/>
              <w:jc w:val="left"/>
              <w:rPr>
                <w:rFonts w:eastAsia="Arial Unicode MS" w:cs="Arial"/>
              </w:rPr>
            </w:pPr>
            <w:r>
              <w:rPr>
                <w:rFonts w:eastAsia="Arial" w:cs="Arial"/>
                <w:szCs w:val="20"/>
                <w:bdr w:val="nil"/>
                <w:lang w:val="nl-BE"/>
              </w:rPr>
              <w:t>T (97 tot 98)</w:t>
            </w:r>
          </w:p>
        </w:tc>
        <w:tc>
          <w:tcPr>
            <w:tcW w:w="3609" w:type="pct"/>
            <w:noWrap/>
            <w:tcMar>
              <w:top w:w="15" w:type="dxa"/>
              <w:left w:w="15" w:type="dxa"/>
              <w:bottom w:w="0" w:type="dxa"/>
              <w:right w:w="15" w:type="dxa"/>
            </w:tcMar>
            <w:vAlign w:val="bottom"/>
          </w:tcPr>
          <w:p w:rsidR="00D7257A" w:rsidRPr="00894AB4" w:rsidRDefault="00D7257A" w:rsidP="00306013">
            <w:pPr>
              <w:ind w:left="126"/>
              <w:jc w:val="left"/>
              <w:rPr>
                <w:rFonts w:eastAsia="Arial Unicode MS" w:cs="Arial"/>
              </w:rPr>
            </w:pPr>
            <w:r>
              <w:rPr>
                <w:rFonts w:eastAsia="Arial" w:cs="Arial"/>
                <w:szCs w:val="20"/>
                <w:bdr w:val="nil"/>
                <w:lang w:val="nl-BE"/>
              </w:rPr>
              <w:t>Huishoudens als werkgever</w:t>
            </w:r>
          </w:p>
        </w:tc>
      </w:tr>
      <w:tr w:rsidR="00D7257A" w:rsidRPr="00A22E25" w:rsidTr="00306013">
        <w:trPr>
          <w:trHeight w:val="225"/>
        </w:trPr>
        <w:tc>
          <w:tcPr>
            <w:tcW w:w="1391" w:type="pct"/>
            <w:noWrap/>
            <w:tcMar>
              <w:top w:w="15" w:type="dxa"/>
              <w:left w:w="15" w:type="dxa"/>
              <w:bottom w:w="0" w:type="dxa"/>
              <w:right w:w="15" w:type="dxa"/>
            </w:tcMar>
            <w:vAlign w:val="bottom"/>
          </w:tcPr>
          <w:p w:rsidR="00D7257A" w:rsidRPr="00894AB4" w:rsidRDefault="00D7257A" w:rsidP="00306013">
            <w:pPr>
              <w:ind w:left="126"/>
              <w:jc w:val="left"/>
              <w:rPr>
                <w:rFonts w:eastAsia="Arial Unicode MS" w:cs="Arial"/>
              </w:rPr>
            </w:pPr>
            <w:r>
              <w:rPr>
                <w:rFonts w:eastAsia="Arial" w:cs="Arial"/>
                <w:szCs w:val="20"/>
                <w:bdr w:val="nil"/>
                <w:lang w:val="nl-BE"/>
              </w:rPr>
              <w:t>U (99)</w:t>
            </w:r>
          </w:p>
        </w:tc>
        <w:tc>
          <w:tcPr>
            <w:tcW w:w="3609" w:type="pct"/>
            <w:noWrap/>
            <w:tcMar>
              <w:top w:w="15" w:type="dxa"/>
              <w:left w:w="15" w:type="dxa"/>
              <w:bottom w:w="0" w:type="dxa"/>
              <w:right w:w="15" w:type="dxa"/>
            </w:tcMar>
            <w:vAlign w:val="bottom"/>
          </w:tcPr>
          <w:p w:rsidR="00D7257A" w:rsidRPr="00A22E25" w:rsidRDefault="00D7257A" w:rsidP="00306013">
            <w:pPr>
              <w:ind w:left="126"/>
              <w:jc w:val="left"/>
              <w:rPr>
                <w:rFonts w:eastAsia="Arial Unicode MS" w:cs="Arial"/>
                <w:lang w:val="nl-BE"/>
              </w:rPr>
            </w:pPr>
            <w:r>
              <w:rPr>
                <w:rFonts w:eastAsia="Arial" w:cs="Arial"/>
                <w:szCs w:val="20"/>
                <w:bdr w:val="nil"/>
                <w:lang w:val="nl-BE"/>
              </w:rPr>
              <w:t>Activiteiten van de extraterritoriale organisaties</w:t>
            </w:r>
          </w:p>
        </w:tc>
      </w:tr>
    </w:tbl>
    <w:p w:rsidR="00D7257A" w:rsidRPr="00A22E25" w:rsidRDefault="00D7257A" w:rsidP="00D7257A">
      <w:pPr>
        <w:rPr>
          <w:lang w:val="nl-BE"/>
        </w:rPr>
      </w:pPr>
    </w:p>
    <w:p w:rsidR="00C22486" w:rsidRPr="00D7257A" w:rsidRDefault="00C22486" w:rsidP="00D7257A">
      <w:pPr>
        <w:rPr>
          <w:lang w:val="nl-BE"/>
        </w:rPr>
      </w:pPr>
    </w:p>
    <w:sectPr w:rsidR="00C22486" w:rsidRPr="00D7257A" w:rsidSect="00152828">
      <w:headerReference w:type="default" r:id="rId28"/>
      <w:footerReference w:type="default" r:id="rId29"/>
      <w:headerReference w:type="first" r:id="rId30"/>
      <w:pgSz w:w="11906" w:h="16838"/>
      <w:pgMar w:top="2268"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020" w:rsidRDefault="00473020" w:rsidP="00152828">
      <w:pPr>
        <w:spacing w:after="0" w:line="240" w:lineRule="auto"/>
      </w:pPr>
      <w:r>
        <w:separator/>
      </w:r>
    </w:p>
  </w:endnote>
  <w:endnote w:type="continuationSeparator" w:id="0">
    <w:p w:rsidR="00473020" w:rsidRDefault="00473020" w:rsidP="00152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B9" w:rsidRDefault="00ED10FA">
    <w:pPr>
      <w:pStyle w:val="Pieddepage"/>
    </w:pPr>
    <w:r>
      <w:rPr>
        <w:noProof/>
        <w:lang w:eastAsia="fr-BE"/>
      </w:rPr>
      <w:drawing>
        <wp:anchor distT="0" distB="0" distL="114300" distR="114300" simplePos="0" relativeHeight="251665408" behindDoc="1" locked="0" layoutInCell="1" allowOverlap="1" wp14:anchorId="1A5179B8" wp14:editId="42B74C54">
          <wp:simplePos x="0" y="0"/>
          <wp:positionH relativeFrom="column">
            <wp:posOffset>-902591</wp:posOffset>
          </wp:positionH>
          <wp:positionV relativeFrom="paragraph">
            <wp:posOffset>-744855</wp:posOffset>
          </wp:positionV>
          <wp:extent cx="7562850" cy="1333500"/>
          <wp:effectExtent l="0" t="0" r="0" b="0"/>
          <wp:wrapNone/>
          <wp:docPr id="6" name="Image 5" descr="BEW-NL-TemplateWord_2-B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W-NL-TemplateWord_2-BAS.png"/>
                  <pic:cNvPicPr/>
                </pic:nvPicPr>
                <pic:blipFill>
                  <a:blip r:embed="rId1"/>
                  <a:stretch>
                    <a:fillRect/>
                  </a:stretch>
                </pic:blipFill>
                <pic:spPr>
                  <a:xfrm>
                    <a:off x="0" y="0"/>
                    <a:ext cx="7562850" cy="1333500"/>
                  </a:xfrm>
                  <a:prstGeom prst="rect">
                    <a:avLst/>
                  </a:prstGeom>
                </pic:spPr>
              </pic:pic>
            </a:graphicData>
          </a:graphic>
        </wp:anchor>
      </w:drawing>
    </w:r>
    <w:r w:rsidR="00C22486">
      <w:rPr>
        <w:noProof/>
        <w:lang w:eastAsia="fr-BE"/>
      </w:rPr>
      <mc:AlternateContent>
        <mc:Choice Requires="wps">
          <w:drawing>
            <wp:anchor distT="0" distB="0" distL="114300" distR="114300" simplePos="0" relativeHeight="251658240" behindDoc="0" locked="0" layoutInCell="1" allowOverlap="1">
              <wp:simplePos x="0" y="0"/>
              <wp:positionH relativeFrom="column">
                <wp:posOffset>6101080</wp:posOffset>
              </wp:positionH>
              <wp:positionV relativeFrom="paragraph">
                <wp:posOffset>-85725</wp:posOffset>
              </wp:positionV>
              <wp:extent cx="418465" cy="219075"/>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2B9" w:rsidRDefault="00C22486">
                          <w:r>
                            <w:fldChar w:fldCharType="begin"/>
                          </w:r>
                          <w:r>
                            <w:instrText xml:space="preserve"> PAGE  \* Arabic  \* MERGEFORMAT </w:instrText>
                          </w:r>
                          <w:r>
                            <w:fldChar w:fldCharType="separate"/>
                          </w:r>
                          <w:r w:rsidR="00E66C69">
                            <w:rPr>
                              <w:noProof/>
                            </w:rPr>
                            <w:t>4</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80.4pt;margin-top:-6.75pt;width:32.9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5GswIAALg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" filled="f" stroked="f">
              <v:textbox>
                <w:txbxContent>
                  <w:p w:rsidR="00A062B9" w:rsidRDefault="00C22486">
                    <w:r>
                      <w:fldChar w:fldCharType="begin"/>
                    </w:r>
                    <w:r>
                      <w:instrText xml:space="preserve"> PAGE  \* Arabic  \* MERGEFORMAT </w:instrText>
                    </w:r>
                    <w:r>
                      <w:fldChar w:fldCharType="separate"/>
                    </w:r>
                    <w:r w:rsidR="00E66C69">
                      <w:rPr>
                        <w:noProof/>
                      </w:rPr>
                      <w:t>4</w:t>
                    </w:r>
                    <w:r>
                      <w:rPr>
                        <w:noProof/>
                      </w:rPr>
                      <w:fldChar w:fldCharType="end"/>
                    </w:r>
                  </w:p>
                </w:txbxContent>
              </v:textbox>
            </v:shape>
          </w:pict>
        </mc:Fallback>
      </mc:AlternateContent>
    </w:r>
    <w:r w:rsidR="00C22486">
      <w:rPr>
        <w:noProof/>
        <w:lang w:eastAsia="fr-BE"/>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-113665</wp:posOffset>
              </wp:positionV>
              <wp:extent cx="5409565" cy="247650"/>
              <wp:effectExtent l="4445"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956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Arial"/>
                              <w:szCs w:val="20"/>
                              <w:lang w:val="nl-BE"/>
                            </w:rPr>
                            <w:alias w:val="Titre"/>
                            <w:id w:val="57123613"/>
                            <w:dataBinding w:prefixMappings="xmlns:ns0='http://schemas.openxmlformats.org/package/2006/metadata/core-properties' xmlns:ns1='http://purl.org/dc/elements/1.1/'" w:xpath="/ns0:coreProperties[1]/ns1:title[1]" w:storeItemID="{6C3C8BC8-F283-45AE-878A-BAB7291924A1}"/>
                            <w:text/>
                          </w:sdtPr>
                          <w:sdtEndPr/>
                          <w:sdtContent>
                            <w:p w:rsidR="00A062B9" w:rsidRPr="00D7257A" w:rsidRDefault="00D7257A" w:rsidP="00F3402A">
                              <w:pPr>
                                <w:pStyle w:val="Sansinterligne"/>
                                <w:rPr>
                                  <w:rFonts w:eastAsiaTheme="majorEastAsia" w:cs="Arial"/>
                                  <w:szCs w:val="20"/>
                                  <w:lang w:val="nl-BE"/>
                                </w:rPr>
                              </w:pPr>
                              <w:proofErr w:type="spellStart"/>
                              <w:r w:rsidRPr="00D7257A">
                                <w:rPr>
                                  <w:rFonts w:eastAsiaTheme="majorEastAsia" w:cs="Arial"/>
                                  <w:szCs w:val="20"/>
                                  <w:lang w:val="nl-BE"/>
                                </w:rPr>
                                <w:t>Activiteitentverslag</w:t>
                              </w:r>
                              <w:proofErr w:type="spellEnd"/>
                              <w:r w:rsidRPr="00D7257A">
                                <w:rPr>
                                  <w:rFonts w:eastAsiaTheme="majorEastAsia" w:cs="Arial"/>
                                  <w:szCs w:val="20"/>
                                  <w:lang w:val="nl-BE"/>
                                </w:rPr>
                                <w:t xml:space="preserve"> van de directie Steun aan Ondernemingen – Gegevens betreffende 2017</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47.6pt;margin-top:-8.95pt;width:425.9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q9htwIAAMA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" filled="f" stroked="f">
              <v:textbox>
                <w:txbxContent>
                  <w:sdt>
                    <w:sdtPr>
                      <w:rPr>
                        <w:rFonts w:eastAsiaTheme="majorEastAsia" w:cs="Arial"/>
                        <w:szCs w:val="20"/>
                        <w:lang w:val="nl-BE"/>
                      </w:rPr>
                      <w:alias w:val="Titre"/>
                      <w:id w:val="57123613"/>
                      <w:dataBinding w:prefixMappings="xmlns:ns0='http://schemas.openxmlformats.org/package/2006/metadata/core-properties' xmlns:ns1='http://purl.org/dc/elements/1.1/'" w:xpath="/ns0:coreProperties[1]/ns1:title[1]" w:storeItemID="{6C3C8BC8-F283-45AE-878A-BAB7291924A1}"/>
                      <w:text/>
                    </w:sdtPr>
                    <w:sdtEndPr/>
                    <w:sdtContent>
                      <w:p w:rsidR="00A062B9" w:rsidRPr="00D7257A" w:rsidRDefault="00D7257A" w:rsidP="00F3402A">
                        <w:pPr>
                          <w:pStyle w:val="Sansinterligne"/>
                          <w:rPr>
                            <w:rFonts w:eastAsiaTheme="majorEastAsia" w:cs="Arial"/>
                            <w:szCs w:val="20"/>
                            <w:lang w:val="nl-BE"/>
                          </w:rPr>
                        </w:pPr>
                        <w:proofErr w:type="spellStart"/>
                        <w:r w:rsidRPr="00D7257A">
                          <w:rPr>
                            <w:rFonts w:eastAsiaTheme="majorEastAsia" w:cs="Arial"/>
                            <w:szCs w:val="20"/>
                            <w:lang w:val="nl-BE"/>
                          </w:rPr>
                          <w:t>Activiteitentverslag</w:t>
                        </w:r>
                        <w:proofErr w:type="spellEnd"/>
                        <w:r w:rsidRPr="00D7257A">
                          <w:rPr>
                            <w:rFonts w:eastAsiaTheme="majorEastAsia" w:cs="Arial"/>
                            <w:szCs w:val="20"/>
                            <w:lang w:val="nl-BE"/>
                          </w:rPr>
                          <w:t xml:space="preserve"> van de directie Steun aan Ondernemingen – Gegevens betreffende 2017</w:t>
                        </w:r>
                      </w:p>
                    </w:sdtContent>
                  </w:sdt>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020" w:rsidRDefault="00473020" w:rsidP="00152828">
      <w:pPr>
        <w:spacing w:after="0" w:line="240" w:lineRule="auto"/>
      </w:pPr>
      <w:r>
        <w:separator/>
      </w:r>
    </w:p>
  </w:footnote>
  <w:footnote w:type="continuationSeparator" w:id="0">
    <w:p w:rsidR="00473020" w:rsidRDefault="00473020" w:rsidP="00152828">
      <w:pPr>
        <w:spacing w:after="0" w:line="240" w:lineRule="auto"/>
      </w:pPr>
      <w:r>
        <w:continuationSeparator/>
      </w:r>
    </w:p>
  </w:footnote>
  <w:footnote w:id="1">
    <w:p w:rsidR="00D7257A" w:rsidRPr="00A22E25" w:rsidRDefault="00D7257A" w:rsidP="00D7257A">
      <w:pPr>
        <w:pStyle w:val="Notedebasdepage"/>
        <w:rPr>
          <w:lang w:val="nl-BE"/>
        </w:rPr>
      </w:pPr>
      <w:r>
        <w:rPr>
          <w:rStyle w:val="Appelnotedebasdep"/>
        </w:rPr>
        <w:footnoteRef/>
      </w:r>
      <w:r>
        <w:rPr>
          <w:rFonts w:eastAsia="Arial" w:cs="Arial"/>
          <w:bdr w:val="nil"/>
          <w:lang w:val="nl-BE"/>
        </w:rPr>
        <w:t xml:space="preserve"> Het hoge weigeringscijfer voor investeringen valt te verklaren doordat opgaven en uitstel van investeringsprogramma's bij de weigeringen gerekend worden.</w:t>
      </w:r>
    </w:p>
  </w:footnote>
  <w:footnote w:id="2">
    <w:p w:rsidR="00D7257A" w:rsidRPr="00A22E25" w:rsidRDefault="00D7257A" w:rsidP="00D7257A">
      <w:pPr>
        <w:pStyle w:val="Notedebasdepage"/>
        <w:rPr>
          <w:lang w:val="nl-BE"/>
        </w:rPr>
      </w:pPr>
      <w:r>
        <w:rPr>
          <w:rStyle w:val="Appelnotedebasdep"/>
        </w:rPr>
        <w:footnoteRef/>
      </w:r>
      <w:r>
        <w:rPr>
          <w:rFonts w:eastAsia="Arial" w:cs="Arial"/>
          <w:bdr w:val="nil"/>
          <w:lang w:val="nl-BE"/>
        </w:rPr>
        <w:t xml:space="preserve"> Het hoge weigeringscijfer voor investeringen valt te verklaren doordat opgaven en uitstel van investeringsprogramma's bij de weigeringen gerekend worden.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B9" w:rsidRDefault="00ED10FA">
    <w:pPr>
      <w:pStyle w:val="En-tte"/>
    </w:pPr>
    <w:r>
      <w:rPr>
        <w:noProof/>
        <w:lang w:eastAsia="fr-BE"/>
      </w:rPr>
      <w:drawing>
        <wp:anchor distT="0" distB="0" distL="114300" distR="114300" simplePos="0" relativeHeight="251663360" behindDoc="1" locked="0" layoutInCell="1" allowOverlap="1" wp14:anchorId="562E4BB5" wp14:editId="491B40E9">
          <wp:simplePos x="0" y="0"/>
          <wp:positionH relativeFrom="column">
            <wp:posOffset>-902335</wp:posOffset>
          </wp:positionH>
          <wp:positionV relativeFrom="paragraph">
            <wp:posOffset>-452120</wp:posOffset>
          </wp:positionV>
          <wp:extent cx="7562850" cy="1171575"/>
          <wp:effectExtent l="0" t="0" r="0" b="0"/>
          <wp:wrapNone/>
          <wp:docPr id="5" name="Image 4" descr="BEW-NL-TemplateWord_2-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W-NL-TemplateWord_2-HAUT.png"/>
                  <pic:cNvPicPr/>
                </pic:nvPicPr>
                <pic:blipFill>
                  <a:blip r:embed="rId1"/>
                  <a:stretch>
                    <a:fillRect/>
                  </a:stretch>
                </pic:blipFill>
                <pic:spPr>
                  <a:xfrm>
                    <a:off x="0" y="0"/>
                    <a:ext cx="7562850" cy="117157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B9" w:rsidRDefault="00ED10FA">
    <w:pPr>
      <w:pStyle w:val="En-tte"/>
    </w:pPr>
    <w:r>
      <w:rPr>
        <w:noProof/>
        <w:lang w:eastAsia="fr-BE"/>
      </w:rPr>
      <w:drawing>
        <wp:anchor distT="0" distB="0" distL="114300" distR="114300" simplePos="0" relativeHeight="251661312" behindDoc="1" locked="0" layoutInCell="1" allowOverlap="1" wp14:anchorId="0D1DC057" wp14:editId="49687211">
          <wp:simplePos x="0" y="0"/>
          <wp:positionH relativeFrom="column">
            <wp:posOffset>-902409</wp:posOffset>
          </wp:positionH>
          <wp:positionV relativeFrom="paragraph">
            <wp:posOffset>-464069</wp:posOffset>
          </wp:positionV>
          <wp:extent cx="7562850" cy="10687050"/>
          <wp:effectExtent l="0" t="0" r="0" b="0"/>
          <wp:wrapNone/>
          <wp:docPr id="4" name="Image 3" descr="BEW-NL-TemplateWord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W-NL-TemplateWord_1.png"/>
                  <pic:cNvPicPr/>
                </pic:nvPicPr>
                <pic:blipFill>
                  <a:blip r:embed="rId1"/>
                  <a:stretch>
                    <a:fillRect/>
                  </a:stretch>
                </pic:blipFill>
                <pic:spPr>
                  <a:xfrm>
                    <a:off x="0" y="0"/>
                    <a:ext cx="7562850" cy="106870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7410F"/>
    <w:multiLevelType w:val="multilevel"/>
    <w:tmpl w:val="08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71C724CC"/>
    <w:multiLevelType w:val="hybridMultilevel"/>
    <w:tmpl w:val="B50044CE"/>
    <w:lvl w:ilvl="0" w:tplc="691856A4">
      <w:start w:val="1"/>
      <w:numFmt w:val="bullet"/>
      <w:lvlText w:val=""/>
      <w:lvlJc w:val="left"/>
      <w:pPr>
        <w:ind w:left="720" w:hanging="360"/>
      </w:pPr>
      <w:rPr>
        <w:rFonts w:ascii="Symbol" w:hAnsi="Symbol" w:hint="default"/>
      </w:rPr>
    </w:lvl>
    <w:lvl w:ilvl="1" w:tplc="6AE2EDC4" w:tentative="1">
      <w:start w:val="1"/>
      <w:numFmt w:val="bullet"/>
      <w:lvlText w:val="o"/>
      <w:lvlJc w:val="left"/>
      <w:pPr>
        <w:ind w:left="1440" w:hanging="360"/>
      </w:pPr>
      <w:rPr>
        <w:rFonts w:ascii="Courier New" w:hAnsi="Courier New" w:cs="Courier New" w:hint="default"/>
      </w:rPr>
    </w:lvl>
    <w:lvl w:ilvl="2" w:tplc="F786833A" w:tentative="1">
      <w:start w:val="1"/>
      <w:numFmt w:val="bullet"/>
      <w:lvlText w:val=""/>
      <w:lvlJc w:val="left"/>
      <w:pPr>
        <w:ind w:left="2160" w:hanging="360"/>
      </w:pPr>
      <w:rPr>
        <w:rFonts w:ascii="Wingdings" w:hAnsi="Wingdings" w:hint="default"/>
      </w:rPr>
    </w:lvl>
    <w:lvl w:ilvl="3" w:tplc="A588BBF8" w:tentative="1">
      <w:start w:val="1"/>
      <w:numFmt w:val="bullet"/>
      <w:lvlText w:val=""/>
      <w:lvlJc w:val="left"/>
      <w:pPr>
        <w:ind w:left="2880" w:hanging="360"/>
      </w:pPr>
      <w:rPr>
        <w:rFonts w:ascii="Symbol" w:hAnsi="Symbol" w:hint="default"/>
      </w:rPr>
    </w:lvl>
    <w:lvl w:ilvl="4" w:tplc="CD106390" w:tentative="1">
      <w:start w:val="1"/>
      <w:numFmt w:val="bullet"/>
      <w:lvlText w:val="o"/>
      <w:lvlJc w:val="left"/>
      <w:pPr>
        <w:ind w:left="3600" w:hanging="360"/>
      </w:pPr>
      <w:rPr>
        <w:rFonts w:ascii="Courier New" w:hAnsi="Courier New" w:cs="Courier New" w:hint="default"/>
      </w:rPr>
    </w:lvl>
    <w:lvl w:ilvl="5" w:tplc="01521300" w:tentative="1">
      <w:start w:val="1"/>
      <w:numFmt w:val="bullet"/>
      <w:lvlText w:val=""/>
      <w:lvlJc w:val="left"/>
      <w:pPr>
        <w:ind w:left="4320" w:hanging="360"/>
      </w:pPr>
      <w:rPr>
        <w:rFonts w:ascii="Wingdings" w:hAnsi="Wingdings" w:hint="default"/>
      </w:rPr>
    </w:lvl>
    <w:lvl w:ilvl="6" w:tplc="6A1E5E42" w:tentative="1">
      <w:start w:val="1"/>
      <w:numFmt w:val="bullet"/>
      <w:lvlText w:val=""/>
      <w:lvlJc w:val="left"/>
      <w:pPr>
        <w:ind w:left="5040" w:hanging="360"/>
      </w:pPr>
      <w:rPr>
        <w:rFonts w:ascii="Symbol" w:hAnsi="Symbol" w:hint="default"/>
      </w:rPr>
    </w:lvl>
    <w:lvl w:ilvl="7" w:tplc="861A0AA6" w:tentative="1">
      <w:start w:val="1"/>
      <w:numFmt w:val="bullet"/>
      <w:lvlText w:val="o"/>
      <w:lvlJc w:val="left"/>
      <w:pPr>
        <w:ind w:left="5760" w:hanging="360"/>
      </w:pPr>
      <w:rPr>
        <w:rFonts w:ascii="Courier New" w:hAnsi="Courier New" w:cs="Courier New" w:hint="default"/>
      </w:rPr>
    </w:lvl>
    <w:lvl w:ilvl="8" w:tplc="FABEFB04" w:tentative="1">
      <w:start w:val="1"/>
      <w:numFmt w:val="bullet"/>
      <w:lvlText w:val=""/>
      <w:lvlJc w:val="left"/>
      <w:pPr>
        <w:ind w:left="6480" w:hanging="360"/>
      </w:pPr>
      <w:rPr>
        <w:rFonts w:ascii="Wingdings" w:hAnsi="Wingdings" w:hint="default"/>
      </w:rPr>
    </w:lvl>
  </w:abstractNum>
  <w:abstractNum w:abstractNumId="2">
    <w:nsid w:val="724F160A"/>
    <w:multiLevelType w:val="hybridMultilevel"/>
    <w:tmpl w:val="29F26DC4"/>
    <w:lvl w:ilvl="0" w:tplc="B66A9F16">
      <w:start w:val="1"/>
      <w:numFmt w:val="bullet"/>
      <w:lvlText w:val=""/>
      <w:lvlJc w:val="left"/>
      <w:pPr>
        <w:ind w:left="720" w:hanging="360"/>
      </w:pPr>
      <w:rPr>
        <w:rFonts w:ascii="Symbol" w:hAnsi="Symbol" w:hint="default"/>
      </w:rPr>
    </w:lvl>
    <w:lvl w:ilvl="1" w:tplc="A094E916" w:tentative="1">
      <w:start w:val="1"/>
      <w:numFmt w:val="bullet"/>
      <w:lvlText w:val="o"/>
      <w:lvlJc w:val="left"/>
      <w:pPr>
        <w:ind w:left="1440" w:hanging="360"/>
      </w:pPr>
      <w:rPr>
        <w:rFonts w:ascii="Courier New" w:hAnsi="Courier New" w:cs="Courier New" w:hint="default"/>
      </w:rPr>
    </w:lvl>
    <w:lvl w:ilvl="2" w:tplc="78141D96" w:tentative="1">
      <w:start w:val="1"/>
      <w:numFmt w:val="bullet"/>
      <w:lvlText w:val=""/>
      <w:lvlJc w:val="left"/>
      <w:pPr>
        <w:ind w:left="2160" w:hanging="360"/>
      </w:pPr>
      <w:rPr>
        <w:rFonts w:ascii="Wingdings" w:hAnsi="Wingdings" w:hint="default"/>
      </w:rPr>
    </w:lvl>
    <w:lvl w:ilvl="3" w:tplc="87846FDA" w:tentative="1">
      <w:start w:val="1"/>
      <w:numFmt w:val="bullet"/>
      <w:lvlText w:val=""/>
      <w:lvlJc w:val="left"/>
      <w:pPr>
        <w:ind w:left="2880" w:hanging="360"/>
      </w:pPr>
      <w:rPr>
        <w:rFonts w:ascii="Symbol" w:hAnsi="Symbol" w:hint="default"/>
      </w:rPr>
    </w:lvl>
    <w:lvl w:ilvl="4" w:tplc="755A93EA" w:tentative="1">
      <w:start w:val="1"/>
      <w:numFmt w:val="bullet"/>
      <w:lvlText w:val="o"/>
      <w:lvlJc w:val="left"/>
      <w:pPr>
        <w:ind w:left="3600" w:hanging="360"/>
      </w:pPr>
      <w:rPr>
        <w:rFonts w:ascii="Courier New" w:hAnsi="Courier New" w:cs="Courier New" w:hint="default"/>
      </w:rPr>
    </w:lvl>
    <w:lvl w:ilvl="5" w:tplc="1E504C70" w:tentative="1">
      <w:start w:val="1"/>
      <w:numFmt w:val="bullet"/>
      <w:lvlText w:val=""/>
      <w:lvlJc w:val="left"/>
      <w:pPr>
        <w:ind w:left="4320" w:hanging="360"/>
      </w:pPr>
      <w:rPr>
        <w:rFonts w:ascii="Wingdings" w:hAnsi="Wingdings" w:hint="default"/>
      </w:rPr>
    </w:lvl>
    <w:lvl w:ilvl="6" w:tplc="DB32C630" w:tentative="1">
      <w:start w:val="1"/>
      <w:numFmt w:val="bullet"/>
      <w:lvlText w:val=""/>
      <w:lvlJc w:val="left"/>
      <w:pPr>
        <w:ind w:left="5040" w:hanging="360"/>
      </w:pPr>
      <w:rPr>
        <w:rFonts w:ascii="Symbol" w:hAnsi="Symbol" w:hint="default"/>
      </w:rPr>
    </w:lvl>
    <w:lvl w:ilvl="7" w:tplc="C3CCE480" w:tentative="1">
      <w:start w:val="1"/>
      <w:numFmt w:val="bullet"/>
      <w:lvlText w:val="o"/>
      <w:lvlJc w:val="left"/>
      <w:pPr>
        <w:ind w:left="5760" w:hanging="360"/>
      </w:pPr>
      <w:rPr>
        <w:rFonts w:ascii="Courier New" w:hAnsi="Courier New" w:cs="Courier New" w:hint="default"/>
      </w:rPr>
    </w:lvl>
    <w:lvl w:ilvl="8" w:tplc="B1FA5286" w:tentative="1">
      <w:start w:val="1"/>
      <w:numFmt w:val="bullet"/>
      <w:lvlText w:val=""/>
      <w:lvlJc w:val="left"/>
      <w:pPr>
        <w:ind w:left="6480" w:hanging="360"/>
      </w:pPr>
      <w:rPr>
        <w:rFonts w:ascii="Wingdings" w:hAnsi="Wingdings" w:hint="default"/>
      </w:rPr>
    </w:lvl>
  </w:abstractNum>
  <w:abstractNum w:abstractNumId="3">
    <w:nsid w:val="78367A93"/>
    <w:multiLevelType w:val="hybridMultilevel"/>
    <w:tmpl w:val="40707B32"/>
    <w:lvl w:ilvl="0" w:tplc="C9FAFEAA">
      <w:start w:val="1"/>
      <w:numFmt w:val="bullet"/>
      <w:lvlText w:val="-"/>
      <w:lvlJc w:val="left"/>
      <w:pPr>
        <w:ind w:left="720" w:hanging="360"/>
      </w:pPr>
      <w:rPr>
        <w:rFonts w:ascii="Arial" w:hAnsi="Arial" w:hint="default"/>
      </w:rPr>
    </w:lvl>
    <w:lvl w:ilvl="1" w:tplc="520C1FDA" w:tentative="1">
      <w:start w:val="1"/>
      <w:numFmt w:val="bullet"/>
      <w:lvlText w:val="o"/>
      <w:lvlJc w:val="left"/>
      <w:pPr>
        <w:ind w:left="1440" w:hanging="360"/>
      </w:pPr>
      <w:rPr>
        <w:rFonts w:ascii="Courier New" w:hAnsi="Courier New" w:cs="Courier New" w:hint="default"/>
      </w:rPr>
    </w:lvl>
    <w:lvl w:ilvl="2" w:tplc="53B0F850" w:tentative="1">
      <w:start w:val="1"/>
      <w:numFmt w:val="bullet"/>
      <w:lvlText w:val=""/>
      <w:lvlJc w:val="left"/>
      <w:pPr>
        <w:ind w:left="2160" w:hanging="360"/>
      </w:pPr>
      <w:rPr>
        <w:rFonts w:ascii="Wingdings" w:hAnsi="Wingdings" w:hint="default"/>
      </w:rPr>
    </w:lvl>
    <w:lvl w:ilvl="3" w:tplc="BF86039C" w:tentative="1">
      <w:start w:val="1"/>
      <w:numFmt w:val="bullet"/>
      <w:lvlText w:val=""/>
      <w:lvlJc w:val="left"/>
      <w:pPr>
        <w:ind w:left="2880" w:hanging="360"/>
      </w:pPr>
      <w:rPr>
        <w:rFonts w:ascii="Symbol" w:hAnsi="Symbol" w:hint="default"/>
      </w:rPr>
    </w:lvl>
    <w:lvl w:ilvl="4" w:tplc="DA7A3C3E" w:tentative="1">
      <w:start w:val="1"/>
      <w:numFmt w:val="bullet"/>
      <w:lvlText w:val="o"/>
      <w:lvlJc w:val="left"/>
      <w:pPr>
        <w:ind w:left="3600" w:hanging="360"/>
      </w:pPr>
      <w:rPr>
        <w:rFonts w:ascii="Courier New" w:hAnsi="Courier New" w:cs="Courier New" w:hint="default"/>
      </w:rPr>
    </w:lvl>
    <w:lvl w:ilvl="5" w:tplc="954CEEDA" w:tentative="1">
      <w:start w:val="1"/>
      <w:numFmt w:val="bullet"/>
      <w:lvlText w:val=""/>
      <w:lvlJc w:val="left"/>
      <w:pPr>
        <w:ind w:left="4320" w:hanging="360"/>
      </w:pPr>
      <w:rPr>
        <w:rFonts w:ascii="Wingdings" w:hAnsi="Wingdings" w:hint="default"/>
      </w:rPr>
    </w:lvl>
    <w:lvl w:ilvl="6" w:tplc="B5C49534" w:tentative="1">
      <w:start w:val="1"/>
      <w:numFmt w:val="bullet"/>
      <w:lvlText w:val=""/>
      <w:lvlJc w:val="left"/>
      <w:pPr>
        <w:ind w:left="5040" w:hanging="360"/>
      </w:pPr>
      <w:rPr>
        <w:rFonts w:ascii="Symbol" w:hAnsi="Symbol" w:hint="default"/>
      </w:rPr>
    </w:lvl>
    <w:lvl w:ilvl="7" w:tplc="7F08C7F6" w:tentative="1">
      <w:start w:val="1"/>
      <w:numFmt w:val="bullet"/>
      <w:lvlText w:val="o"/>
      <w:lvlJc w:val="left"/>
      <w:pPr>
        <w:ind w:left="5760" w:hanging="360"/>
      </w:pPr>
      <w:rPr>
        <w:rFonts w:ascii="Courier New" w:hAnsi="Courier New" w:cs="Courier New" w:hint="default"/>
      </w:rPr>
    </w:lvl>
    <w:lvl w:ilvl="8" w:tplc="BF326F66" w:tentative="1">
      <w:start w:val="1"/>
      <w:numFmt w:val="bullet"/>
      <w:lvlText w:val=""/>
      <w:lvlJc w:val="left"/>
      <w:pPr>
        <w:ind w:left="6480" w:hanging="360"/>
      </w:pPr>
      <w:rPr>
        <w:rFonts w:ascii="Wingdings" w:hAnsi="Wingdings" w:hint="default"/>
      </w:rPr>
    </w:lvl>
  </w:abstractNum>
  <w:abstractNum w:abstractNumId="4">
    <w:nsid w:val="7DB9738A"/>
    <w:multiLevelType w:val="hybridMultilevel"/>
    <w:tmpl w:val="39527736"/>
    <w:lvl w:ilvl="0" w:tplc="57DE57EE">
      <w:start w:val="4"/>
      <w:numFmt w:val="bullet"/>
      <w:lvlText w:val="-"/>
      <w:lvlJc w:val="left"/>
      <w:pPr>
        <w:ind w:left="720" w:hanging="360"/>
      </w:pPr>
      <w:rPr>
        <w:rFonts w:ascii="Arial" w:eastAsiaTheme="minorHAnsi" w:hAnsi="Arial" w:cs="Arial" w:hint="default"/>
      </w:rPr>
    </w:lvl>
    <w:lvl w:ilvl="1" w:tplc="CE16AC7C" w:tentative="1">
      <w:start w:val="1"/>
      <w:numFmt w:val="bullet"/>
      <w:lvlText w:val="o"/>
      <w:lvlJc w:val="left"/>
      <w:pPr>
        <w:ind w:left="1440" w:hanging="360"/>
      </w:pPr>
      <w:rPr>
        <w:rFonts w:ascii="Courier New" w:hAnsi="Courier New" w:cs="Courier New" w:hint="default"/>
      </w:rPr>
    </w:lvl>
    <w:lvl w:ilvl="2" w:tplc="8C4237CE" w:tentative="1">
      <w:start w:val="1"/>
      <w:numFmt w:val="bullet"/>
      <w:lvlText w:val=""/>
      <w:lvlJc w:val="left"/>
      <w:pPr>
        <w:ind w:left="2160" w:hanging="360"/>
      </w:pPr>
      <w:rPr>
        <w:rFonts w:ascii="Wingdings" w:hAnsi="Wingdings" w:hint="default"/>
      </w:rPr>
    </w:lvl>
    <w:lvl w:ilvl="3" w:tplc="3E547A8E" w:tentative="1">
      <w:start w:val="1"/>
      <w:numFmt w:val="bullet"/>
      <w:lvlText w:val=""/>
      <w:lvlJc w:val="left"/>
      <w:pPr>
        <w:ind w:left="2880" w:hanging="360"/>
      </w:pPr>
      <w:rPr>
        <w:rFonts w:ascii="Symbol" w:hAnsi="Symbol" w:hint="default"/>
      </w:rPr>
    </w:lvl>
    <w:lvl w:ilvl="4" w:tplc="26504460" w:tentative="1">
      <w:start w:val="1"/>
      <w:numFmt w:val="bullet"/>
      <w:lvlText w:val="o"/>
      <w:lvlJc w:val="left"/>
      <w:pPr>
        <w:ind w:left="3600" w:hanging="360"/>
      </w:pPr>
      <w:rPr>
        <w:rFonts w:ascii="Courier New" w:hAnsi="Courier New" w:cs="Courier New" w:hint="default"/>
      </w:rPr>
    </w:lvl>
    <w:lvl w:ilvl="5" w:tplc="6AE2B8E6" w:tentative="1">
      <w:start w:val="1"/>
      <w:numFmt w:val="bullet"/>
      <w:lvlText w:val=""/>
      <w:lvlJc w:val="left"/>
      <w:pPr>
        <w:ind w:left="4320" w:hanging="360"/>
      </w:pPr>
      <w:rPr>
        <w:rFonts w:ascii="Wingdings" w:hAnsi="Wingdings" w:hint="default"/>
      </w:rPr>
    </w:lvl>
    <w:lvl w:ilvl="6" w:tplc="00309E18" w:tentative="1">
      <w:start w:val="1"/>
      <w:numFmt w:val="bullet"/>
      <w:lvlText w:val=""/>
      <w:lvlJc w:val="left"/>
      <w:pPr>
        <w:ind w:left="5040" w:hanging="360"/>
      </w:pPr>
      <w:rPr>
        <w:rFonts w:ascii="Symbol" w:hAnsi="Symbol" w:hint="default"/>
      </w:rPr>
    </w:lvl>
    <w:lvl w:ilvl="7" w:tplc="A7E46412" w:tentative="1">
      <w:start w:val="1"/>
      <w:numFmt w:val="bullet"/>
      <w:lvlText w:val="o"/>
      <w:lvlJc w:val="left"/>
      <w:pPr>
        <w:ind w:left="5760" w:hanging="360"/>
      </w:pPr>
      <w:rPr>
        <w:rFonts w:ascii="Courier New" w:hAnsi="Courier New" w:cs="Courier New" w:hint="default"/>
      </w:rPr>
    </w:lvl>
    <w:lvl w:ilvl="8" w:tplc="7FA2FA36" w:tentative="1">
      <w:start w:val="1"/>
      <w:numFmt w:val="bullet"/>
      <w:lvlText w:val=""/>
      <w:lvlJc w:val="left"/>
      <w:pPr>
        <w:ind w:left="6480" w:hanging="360"/>
      </w:pPr>
      <w:rPr>
        <w:rFonts w:ascii="Wingdings" w:hAnsi="Wingdings" w:hint="default"/>
      </w:rPr>
    </w:lvl>
  </w:abstractNum>
  <w:abstractNum w:abstractNumId="5">
    <w:nsid w:val="7EAE3DFF"/>
    <w:multiLevelType w:val="hybridMultilevel"/>
    <w:tmpl w:val="AE2AF226"/>
    <w:lvl w:ilvl="0" w:tplc="9666500C">
      <w:start w:val="4"/>
      <w:numFmt w:val="bullet"/>
      <w:lvlText w:val="-"/>
      <w:lvlJc w:val="left"/>
      <w:pPr>
        <w:ind w:left="720" w:hanging="360"/>
      </w:pPr>
      <w:rPr>
        <w:rFonts w:ascii="Arial" w:eastAsiaTheme="minorHAnsi" w:hAnsi="Arial" w:cs="Arial" w:hint="default"/>
      </w:rPr>
    </w:lvl>
    <w:lvl w:ilvl="1" w:tplc="694CECAA" w:tentative="1">
      <w:start w:val="1"/>
      <w:numFmt w:val="bullet"/>
      <w:lvlText w:val="o"/>
      <w:lvlJc w:val="left"/>
      <w:pPr>
        <w:ind w:left="1440" w:hanging="360"/>
      </w:pPr>
      <w:rPr>
        <w:rFonts w:ascii="Courier New" w:hAnsi="Courier New" w:cs="Courier New" w:hint="default"/>
      </w:rPr>
    </w:lvl>
    <w:lvl w:ilvl="2" w:tplc="E02A3CCE" w:tentative="1">
      <w:start w:val="1"/>
      <w:numFmt w:val="bullet"/>
      <w:lvlText w:val=""/>
      <w:lvlJc w:val="left"/>
      <w:pPr>
        <w:ind w:left="2160" w:hanging="360"/>
      </w:pPr>
      <w:rPr>
        <w:rFonts w:ascii="Wingdings" w:hAnsi="Wingdings" w:hint="default"/>
      </w:rPr>
    </w:lvl>
    <w:lvl w:ilvl="3" w:tplc="1D78DF3A" w:tentative="1">
      <w:start w:val="1"/>
      <w:numFmt w:val="bullet"/>
      <w:lvlText w:val=""/>
      <w:lvlJc w:val="left"/>
      <w:pPr>
        <w:ind w:left="2880" w:hanging="360"/>
      </w:pPr>
      <w:rPr>
        <w:rFonts w:ascii="Symbol" w:hAnsi="Symbol" w:hint="default"/>
      </w:rPr>
    </w:lvl>
    <w:lvl w:ilvl="4" w:tplc="4C500AB2" w:tentative="1">
      <w:start w:val="1"/>
      <w:numFmt w:val="bullet"/>
      <w:lvlText w:val="o"/>
      <w:lvlJc w:val="left"/>
      <w:pPr>
        <w:ind w:left="3600" w:hanging="360"/>
      </w:pPr>
      <w:rPr>
        <w:rFonts w:ascii="Courier New" w:hAnsi="Courier New" w:cs="Courier New" w:hint="default"/>
      </w:rPr>
    </w:lvl>
    <w:lvl w:ilvl="5" w:tplc="B08C8432" w:tentative="1">
      <w:start w:val="1"/>
      <w:numFmt w:val="bullet"/>
      <w:lvlText w:val=""/>
      <w:lvlJc w:val="left"/>
      <w:pPr>
        <w:ind w:left="4320" w:hanging="360"/>
      </w:pPr>
      <w:rPr>
        <w:rFonts w:ascii="Wingdings" w:hAnsi="Wingdings" w:hint="default"/>
      </w:rPr>
    </w:lvl>
    <w:lvl w:ilvl="6" w:tplc="0A4A072C" w:tentative="1">
      <w:start w:val="1"/>
      <w:numFmt w:val="bullet"/>
      <w:lvlText w:val=""/>
      <w:lvlJc w:val="left"/>
      <w:pPr>
        <w:ind w:left="5040" w:hanging="360"/>
      </w:pPr>
      <w:rPr>
        <w:rFonts w:ascii="Symbol" w:hAnsi="Symbol" w:hint="default"/>
      </w:rPr>
    </w:lvl>
    <w:lvl w:ilvl="7" w:tplc="63180F2C" w:tentative="1">
      <w:start w:val="1"/>
      <w:numFmt w:val="bullet"/>
      <w:lvlText w:val="o"/>
      <w:lvlJc w:val="left"/>
      <w:pPr>
        <w:ind w:left="5760" w:hanging="360"/>
      </w:pPr>
      <w:rPr>
        <w:rFonts w:ascii="Courier New" w:hAnsi="Courier New" w:cs="Courier New" w:hint="default"/>
      </w:rPr>
    </w:lvl>
    <w:lvl w:ilvl="8" w:tplc="815ACCF2"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28"/>
    <w:rsid w:val="0000340B"/>
    <w:rsid w:val="000077C3"/>
    <w:rsid w:val="00066099"/>
    <w:rsid w:val="00152828"/>
    <w:rsid w:val="001937A3"/>
    <w:rsid w:val="001C0433"/>
    <w:rsid w:val="00220DC7"/>
    <w:rsid w:val="002263CB"/>
    <w:rsid w:val="002E5136"/>
    <w:rsid w:val="003C764E"/>
    <w:rsid w:val="0040695B"/>
    <w:rsid w:val="00435035"/>
    <w:rsid w:val="00454054"/>
    <w:rsid w:val="00473020"/>
    <w:rsid w:val="005758FD"/>
    <w:rsid w:val="00616807"/>
    <w:rsid w:val="006227C3"/>
    <w:rsid w:val="0065334C"/>
    <w:rsid w:val="00655979"/>
    <w:rsid w:val="00671952"/>
    <w:rsid w:val="006C2A85"/>
    <w:rsid w:val="006D57E1"/>
    <w:rsid w:val="00723B41"/>
    <w:rsid w:val="00730637"/>
    <w:rsid w:val="00735183"/>
    <w:rsid w:val="00837F49"/>
    <w:rsid w:val="00877B83"/>
    <w:rsid w:val="008E57DD"/>
    <w:rsid w:val="008F73DB"/>
    <w:rsid w:val="00A062B9"/>
    <w:rsid w:val="00A438C3"/>
    <w:rsid w:val="00B57044"/>
    <w:rsid w:val="00BC6585"/>
    <w:rsid w:val="00C22486"/>
    <w:rsid w:val="00C37B0B"/>
    <w:rsid w:val="00C57BCF"/>
    <w:rsid w:val="00CE0D31"/>
    <w:rsid w:val="00D50424"/>
    <w:rsid w:val="00D65AF1"/>
    <w:rsid w:val="00D67DE1"/>
    <w:rsid w:val="00D7257A"/>
    <w:rsid w:val="00E010C6"/>
    <w:rsid w:val="00E51F4C"/>
    <w:rsid w:val="00E650E8"/>
    <w:rsid w:val="00E66C69"/>
    <w:rsid w:val="00E86FCA"/>
    <w:rsid w:val="00ED10FA"/>
    <w:rsid w:val="00F3402A"/>
    <w:rsid w:val="00FE0D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50E8"/>
    <w:pPr>
      <w:jc w:val="both"/>
    </w:pPr>
    <w:rPr>
      <w:rFonts w:ascii="Arial" w:hAnsi="Arial"/>
      <w:sz w:val="20"/>
    </w:rPr>
  </w:style>
  <w:style w:type="paragraph" w:styleId="Titre1">
    <w:name w:val="heading 1"/>
    <w:basedOn w:val="Normal"/>
    <w:next w:val="Normal"/>
    <w:link w:val="Titre1Car"/>
    <w:uiPriority w:val="9"/>
    <w:qFormat/>
    <w:rsid w:val="00E650E8"/>
    <w:pPr>
      <w:keepNext/>
      <w:keepLine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227C3"/>
    <w:pPr>
      <w:keepNext/>
      <w:keepLines/>
      <w:spacing w:before="200" w:after="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6227C3"/>
    <w:pPr>
      <w:keepNext/>
      <w:keepLines/>
      <w:spacing w:before="200" w:after="0"/>
      <w:outlineLvl w:val="2"/>
    </w:pPr>
    <w:rPr>
      <w:rFonts w:eastAsiaTheme="majorEastAsia" w:cstheme="majorBidi"/>
      <w:b/>
      <w:bCs/>
      <w:color w:val="4F81BD" w:themeColor="accent1"/>
    </w:rPr>
  </w:style>
  <w:style w:type="paragraph" w:styleId="Titre4">
    <w:name w:val="heading 4"/>
    <w:basedOn w:val="Normal"/>
    <w:next w:val="Normal"/>
    <w:link w:val="Titre4Car"/>
    <w:uiPriority w:val="9"/>
    <w:unhideWhenUsed/>
    <w:qFormat/>
    <w:rsid w:val="006227C3"/>
    <w:pPr>
      <w:keepNext/>
      <w:keepLines/>
      <w:spacing w:before="200" w:after="0"/>
      <w:outlineLvl w:val="3"/>
    </w:pPr>
    <w:rPr>
      <w:rFonts w:eastAsiaTheme="majorEastAsia" w:cstheme="majorBidi"/>
      <w:b/>
      <w:bCs/>
      <w:i/>
      <w:iCs/>
      <w:color w:val="4F81BD" w:themeColor="accent1"/>
    </w:rPr>
  </w:style>
  <w:style w:type="paragraph" w:styleId="Titre5">
    <w:name w:val="heading 5"/>
    <w:basedOn w:val="Normal"/>
    <w:next w:val="Normal"/>
    <w:link w:val="Titre5Car"/>
    <w:uiPriority w:val="9"/>
    <w:semiHidden/>
    <w:unhideWhenUsed/>
    <w:qFormat/>
    <w:rsid w:val="00D7257A"/>
    <w:pPr>
      <w:keepNext/>
      <w:keepLines/>
      <w:spacing w:before="40" w:after="0"/>
      <w:ind w:left="1008" w:hanging="1008"/>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D7257A"/>
    <w:pPr>
      <w:keepNext/>
      <w:keepLines/>
      <w:spacing w:before="40" w:after="0"/>
      <w:ind w:left="1152" w:hanging="1152"/>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D7257A"/>
    <w:pPr>
      <w:keepNext/>
      <w:keepLines/>
      <w:spacing w:before="40" w:after="0"/>
      <w:ind w:left="1296" w:hanging="1296"/>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D7257A"/>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7257A"/>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50E8"/>
    <w:rPr>
      <w:rFonts w:ascii="Arial" w:eastAsiaTheme="majorEastAsia" w:hAnsi="Arial" w:cstheme="majorBidi"/>
      <w:b/>
      <w:bCs/>
      <w:color w:val="365F91" w:themeColor="accent1" w:themeShade="BF"/>
      <w:sz w:val="28"/>
      <w:szCs w:val="28"/>
    </w:rPr>
  </w:style>
  <w:style w:type="character" w:customStyle="1" w:styleId="Titre2Car">
    <w:name w:val="Titre 2 Car"/>
    <w:basedOn w:val="Policepardfaut"/>
    <w:link w:val="Titre2"/>
    <w:uiPriority w:val="9"/>
    <w:rsid w:val="006227C3"/>
    <w:rPr>
      <w:rFonts w:ascii="Arial" w:eastAsiaTheme="majorEastAsia" w:hAnsi="Arial" w:cstheme="majorBidi"/>
      <w:b/>
      <w:bCs/>
      <w:color w:val="4F81BD" w:themeColor="accent1"/>
      <w:sz w:val="26"/>
      <w:szCs w:val="26"/>
    </w:rPr>
  </w:style>
  <w:style w:type="character" w:customStyle="1" w:styleId="Titre3Car">
    <w:name w:val="Titre 3 Car"/>
    <w:basedOn w:val="Policepardfaut"/>
    <w:link w:val="Titre3"/>
    <w:uiPriority w:val="9"/>
    <w:rsid w:val="006227C3"/>
    <w:rPr>
      <w:rFonts w:ascii="Arial" w:eastAsiaTheme="majorEastAsia" w:hAnsi="Arial" w:cstheme="majorBidi"/>
      <w:b/>
      <w:bCs/>
      <w:color w:val="4F81BD" w:themeColor="accent1"/>
      <w:sz w:val="20"/>
    </w:rPr>
  </w:style>
  <w:style w:type="character" w:customStyle="1" w:styleId="Titre4Car">
    <w:name w:val="Titre 4 Car"/>
    <w:basedOn w:val="Policepardfaut"/>
    <w:link w:val="Titre4"/>
    <w:uiPriority w:val="9"/>
    <w:rsid w:val="006227C3"/>
    <w:rPr>
      <w:rFonts w:ascii="Arial" w:eastAsiaTheme="majorEastAsia" w:hAnsi="Arial" w:cstheme="majorBidi"/>
      <w:b/>
      <w:bCs/>
      <w:i/>
      <w:iCs/>
      <w:color w:val="4F81BD" w:themeColor="accent1"/>
      <w:sz w:val="20"/>
    </w:rPr>
  </w:style>
  <w:style w:type="paragraph" w:styleId="En-tte">
    <w:name w:val="header"/>
    <w:basedOn w:val="Normal"/>
    <w:link w:val="En-tteCar"/>
    <w:uiPriority w:val="99"/>
    <w:unhideWhenUsed/>
    <w:rsid w:val="00152828"/>
    <w:pPr>
      <w:tabs>
        <w:tab w:val="center" w:pos="4536"/>
        <w:tab w:val="right" w:pos="9072"/>
      </w:tabs>
      <w:spacing w:after="0" w:line="240" w:lineRule="auto"/>
    </w:pPr>
  </w:style>
  <w:style w:type="character" w:customStyle="1" w:styleId="En-tteCar">
    <w:name w:val="En-tête Car"/>
    <w:basedOn w:val="Policepardfaut"/>
    <w:link w:val="En-tte"/>
    <w:uiPriority w:val="99"/>
    <w:rsid w:val="00152828"/>
    <w:rPr>
      <w:rFonts w:ascii="Arial" w:hAnsi="Arial"/>
      <w:sz w:val="20"/>
    </w:rPr>
  </w:style>
  <w:style w:type="paragraph" w:styleId="Pieddepage">
    <w:name w:val="footer"/>
    <w:basedOn w:val="Normal"/>
    <w:link w:val="PieddepageCar"/>
    <w:uiPriority w:val="99"/>
    <w:unhideWhenUsed/>
    <w:rsid w:val="001528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2828"/>
    <w:rPr>
      <w:rFonts w:ascii="Arial" w:hAnsi="Arial"/>
      <w:sz w:val="20"/>
    </w:rPr>
  </w:style>
  <w:style w:type="paragraph" w:styleId="Textedebulles">
    <w:name w:val="Balloon Text"/>
    <w:basedOn w:val="Normal"/>
    <w:link w:val="TextedebullesCar"/>
    <w:uiPriority w:val="99"/>
    <w:semiHidden/>
    <w:unhideWhenUsed/>
    <w:rsid w:val="001528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2828"/>
    <w:rPr>
      <w:rFonts w:ascii="Tahoma" w:hAnsi="Tahoma" w:cs="Tahoma"/>
      <w:sz w:val="16"/>
      <w:szCs w:val="16"/>
    </w:rPr>
  </w:style>
  <w:style w:type="paragraph" w:styleId="Sansinterligne">
    <w:name w:val="No Spacing"/>
    <w:link w:val="SansinterligneCar"/>
    <w:uiPriority w:val="1"/>
    <w:qFormat/>
    <w:rsid w:val="00E650E8"/>
    <w:pPr>
      <w:spacing w:after="0" w:line="240" w:lineRule="auto"/>
      <w:jc w:val="both"/>
    </w:pPr>
    <w:rPr>
      <w:rFonts w:ascii="Arial" w:eastAsiaTheme="minorEastAsia" w:hAnsi="Arial"/>
      <w:sz w:val="20"/>
      <w:lang w:val="fr-FR"/>
    </w:rPr>
  </w:style>
  <w:style w:type="character" w:customStyle="1" w:styleId="SansinterligneCar">
    <w:name w:val="Sans interligne Car"/>
    <w:basedOn w:val="Policepardfaut"/>
    <w:link w:val="Sansinterligne"/>
    <w:uiPriority w:val="1"/>
    <w:rsid w:val="00E650E8"/>
    <w:rPr>
      <w:rFonts w:ascii="Arial" w:eastAsiaTheme="minorEastAsia" w:hAnsi="Arial"/>
      <w:sz w:val="20"/>
      <w:lang w:val="fr-FR"/>
    </w:rPr>
  </w:style>
  <w:style w:type="character" w:styleId="Textedelespacerserv">
    <w:name w:val="Placeholder Text"/>
    <w:basedOn w:val="Policepardfaut"/>
    <w:uiPriority w:val="99"/>
    <w:semiHidden/>
    <w:rsid w:val="00F3402A"/>
    <w:rPr>
      <w:color w:val="808080"/>
    </w:rPr>
  </w:style>
  <w:style w:type="paragraph" w:styleId="Titre">
    <w:name w:val="Title"/>
    <w:basedOn w:val="Sansinterligne"/>
    <w:next w:val="Normal"/>
    <w:link w:val="TitreCar"/>
    <w:uiPriority w:val="10"/>
    <w:qFormat/>
    <w:rsid w:val="00616807"/>
    <w:pPr>
      <w:jc w:val="left"/>
    </w:pPr>
    <w:rPr>
      <w:rFonts w:eastAsiaTheme="majorEastAsia" w:cs="Arial"/>
      <w:b/>
      <w:color w:val="0A00BE"/>
      <w:sz w:val="96"/>
      <w:szCs w:val="72"/>
      <w:lang w:val="fr-BE"/>
    </w:rPr>
  </w:style>
  <w:style w:type="character" w:customStyle="1" w:styleId="TitreCar">
    <w:name w:val="Titre Car"/>
    <w:basedOn w:val="Policepardfaut"/>
    <w:link w:val="Titre"/>
    <w:uiPriority w:val="10"/>
    <w:rsid w:val="00616807"/>
    <w:rPr>
      <w:rFonts w:ascii="Arial" w:eastAsiaTheme="majorEastAsia" w:hAnsi="Arial" w:cs="Arial"/>
      <w:b/>
      <w:color w:val="0A00BE"/>
      <w:sz w:val="96"/>
      <w:szCs w:val="72"/>
    </w:rPr>
  </w:style>
  <w:style w:type="paragraph" w:customStyle="1" w:styleId="Sous-titredudocument">
    <w:name w:val="Sous-titre du document"/>
    <w:basedOn w:val="Titre1"/>
    <w:link w:val="Sous-titredudocumentCar"/>
    <w:qFormat/>
    <w:rsid w:val="00616807"/>
    <w:rPr>
      <w:sz w:val="32"/>
    </w:rPr>
  </w:style>
  <w:style w:type="character" w:customStyle="1" w:styleId="Sous-titredudocumentCar">
    <w:name w:val="Sous-titre du document Car"/>
    <w:basedOn w:val="Titre1Car"/>
    <w:link w:val="Sous-titredudocument"/>
    <w:rsid w:val="00616807"/>
    <w:rPr>
      <w:rFonts w:ascii="Arial" w:eastAsiaTheme="majorEastAsia" w:hAnsi="Arial" w:cstheme="majorBidi"/>
      <w:b/>
      <w:bCs/>
      <w:color w:val="365F91" w:themeColor="accent1" w:themeShade="BF"/>
      <w:sz w:val="32"/>
      <w:szCs w:val="28"/>
    </w:rPr>
  </w:style>
  <w:style w:type="character" w:customStyle="1" w:styleId="Titre5Car">
    <w:name w:val="Titre 5 Car"/>
    <w:basedOn w:val="Policepardfaut"/>
    <w:link w:val="Titre5"/>
    <w:uiPriority w:val="9"/>
    <w:semiHidden/>
    <w:rsid w:val="00D7257A"/>
    <w:rPr>
      <w:rFonts w:asciiTheme="majorHAnsi" w:eastAsiaTheme="majorEastAsia" w:hAnsiTheme="majorHAnsi" w:cstheme="majorBidi"/>
      <w:color w:val="365F91" w:themeColor="accent1" w:themeShade="BF"/>
      <w:sz w:val="20"/>
    </w:rPr>
  </w:style>
  <w:style w:type="character" w:customStyle="1" w:styleId="Titre6Car">
    <w:name w:val="Titre 6 Car"/>
    <w:basedOn w:val="Policepardfaut"/>
    <w:link w:val="Titre6"/>
    <w:uiPriority w:val="9"/>
    <w:semiHidden/>
    <w:rsid w:val="00D7257A"/>
    <w:rPr>
      <w:rFonts w:asciiTheme="majorHAnsi" w:eastAsiaTheme="majorEastAsia" w:hAnsiTheme="majorHAnsi" w:cstheme="majorBidi"/>
      <w:color w:val="243F60" w:themeColor="accent1" w:themeShade="7F"/>
      <w:sz w:val="20"/>
    </w:rPr>
  </w:style>
  <w:style w:type="character" w:customStyle="1" w:styleId="Titre7Car">
    <w:name w:val="Titre 7 Car"/>
    <w:basedOn w:val="Policepardfaut"/>
    <w:link w:val="Titre7"/>
    <w:uiPriority w:val="9"/>
    <w:semiHidden/>
    <w:rsid w:val="00D7257A"/>
    <w:rPr>
      <w:rFonts w:asciiTheme="majorHAnsi" w:eastAsiaTheme="majorEastAsia" w:hAnsiTheme="majorHAnsi" w:cstheme="majorBidi"/>
      <w:i/>
      <w:iCs/>
      <w:color w:val="243F60" w:themeColor="accent1" w:themeShade="7F"/>
      <w:sz w:val="20"/>
    </w:rPr>
  </w:style>
  <w:style w:type="character" w:customStyle="1" w:styleId="Titre8Car">
    <w:name w:val="Titre 8 Car"/>
    <w:basedOn w:val="Policepardfaut"/>
    <w:link w:val="Titre8"/>
    <w:uiPriority w:val="9"/>
    <w:semiHidden/>
    <w:rsid w:val="00D7257A"/>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7257A"/>
    <w:rPr>
      <w:rFonts w:asciiTheme="majorHAnsi" w:eastAsiaTheme="majorEastAsia" w:hAnsiTheme="majorHAnsi" w:cstheme="majorBidi"/>
      <w:i/>
      <w:iCs/>
      <w:color w:val="272727" w:themeColor="text1" w:themeTint="D8"/>
      <w:sz w:val="21"/>
      <w:szCs w:val="21"/>
    </w:rPr>
  </w:style>
  <w:style w:type="paragraph" w:styleId="En-ttedetabledesmatires">
    <w:name w:val="TOC Heading"/>
    <w:basedOn w:val="Titre1"/>
    <w:next w:val="Normal"/>
    <w:uiPriority w:val="39"/>
    <w:semiHidden/>
    <w:unhideWhenUsed/>
    <w:qFormat/>
    <w:rsid w:val="00D7257A"/>
    <w:pPr>
      <w:jc w:val="left"/>
      <w:outlineLvl w:val="9"/>
    </w:pPr>
    <w:rPr>
      <w:rFonts w:asciiTheme="majorHAnsi" w:hAnsiTheme="majorHAnsi"/>
      <w:lang w:eastAsia="fr-BE"/>
    </w:rPr>
  </w:style>
  <w:style w:type="paragraph" w:styleId="TM1">
    <w:name w:val="toc 1"/>
    <w:basedOn w:val="Normal"/>
    <w:next w:val="Normal"/>
    <w:autoRedefine/>
    <w:uiPriority w:val="39"/>
    <w:unhideWhenUsed/>
    <w:qFormat/>
    <w:rsid w:val="00D7257A"/>
    <w:pPr>
      <w:spacing w:after="100"/>
    </w:pPr>
  </w:style>
  <w:style w:type="paragraph" w:styleId="TM2">
    <w:name w:val="toc 2"/>
    <w:basedOn w:val="Normal"/>
    <w:next w:val="Normal"/>
    <w:autoRedefine/>
    <w:uiPriority w:val="39"/>
    <w:unhideWhenUsed/>
    <w:qFormat/>
    <w:rsid w:val="00D7257A"/>
    <w:pPr>
      <w:spacing w:after="100"/>
      <w:ind w:left="220"/>
      <w:jc w:val="left"/>
    </w:pPr>
    <w:rPr>
      <w:rFonts w:asciiTheme="minorHAnsi" w:eastAsiaTheme="minorEastAsia" w:hAnsiTheme="minorHAnsi"/>
      <w:sz w:val="22"/>
      <w:lang w:eastAsia="fr-BE"/>
    </w:rPr>
  </w:style>
  <w:style w:type="paragraph" w:styleId="TM3">
    <w:name w:val="toc 3"/>
    <w:basedOn w:val="Normal"/>
    <w:next w:val="Normal"/>
    <w:autoRedefine/>
    <w:uiPriority w:val="39"/>
    <w:unhideWhenUsed/>
    <w:qFormat/>
    <w:rsid w:val="00D7257A"/>
    <w:pPr>
      <w:spacing w:after="100"/>
      <w:ind w:left="440"/>
      <w:jc w:val="left"/>
    </w:pPr>
    <w:rPr>
      <w:rFonts w:asciiTheme="minorHAnsi" w:eastAsiaTheme="minorEastAsia" w:hAnsiTheme="minorHAnsi"/>
      <w:sz w:val="22"/>
      <w:lang w:eastAsia="fr-BE"/>
    </w:rPr>
  </w:style>
  <w:style w:type="character" w:styleId="Lienhypertexte">
    <w:name w:val="Hyperlink"/>
    <w:basedOn w:val="Policepardfaut"/>
    <w:uiPriority w:val="99"/>
    <w:unhideWhenUsed/>
    <w:rsid w:val="00D7257A"/>
    <w:rPr>
      <w:color w:val="0000FF" w:themeColor="hyperlink"/>
      <w:u w:val="single"/>
    </w:rPr>
  </w:style>
  <w:style w:type="table" w:styleId="Grilledutableau">
    <w:name w:val="Table Grid"/>
    <w:basedOn w:val="TableauNormal"/>
    <w:uiPriority w:val="59"/>
    <w:rsid w:val="00D72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D7257A"/>
    <w:pPr>
      <w:ind w:left="720"/>
      <w:contextualSpacing/>
    </w:pPr>
  </w:style>
  <w:style w:type="paragraph" w:customStyle="1" w:styleId="Lettercontact">
    <w:name w:val="Letter_contact"/>
    <w:basedOn w:val="Normal"/>
    <w:rsid w:val="00D7257A"/>
    <w:pPr>
      <w:spacing w:line="200" w:lineRule="exact"/>
    </w:pPr>
    <w:rPr>
      <w:rFonts w:eastAsia="Times New Roman" w:cs="Times New Roman"/>
      <w:sz w:val="16"/>
      <w:szCs w:val="20"/>
      <w:lang w:val="en-US"/>
    </w:rPr>
  </w:style>
  <w:style w:type="paragraph" w:styleId="Notedebasdepage">
    <w:name w:val="footnote text"/>
    <w:basedOn w:val="Normal"/>
    <w:link w:val="NotedebasdepageCar"/>
    <w:uiPriority w:val="99"/>
    <w:semiHidden/>
    <w:unhideWhenUsed/>
    <w:rsid w:val="00D7257A"/>
    <w:pPr>
      <w:spacing w:after="0" w:line="240" w:lineRule="auto"/>
    </w:pPr>
    <w:rPr>
      <w:szCs w:val="20"/>
    </w:rPr>
  </w:style>
  <w:style w:type="character" w:customStyle="1" w:styleId="NotedebasdepageCar">
    <w:name w:val="Note de bas de page Car"/>
    <w:basedOn w:val="Policepardfaut"/>
    <w:link w:val="Notedebasdepage"/>
    <w:uiPriority w:val="99"/>
    <w:semiHidden/>
    <w:rsid w:val="00D7257A"/>
    <w:rPr>
      <w:rFonts w:ascii="Arial" w:hAnsi="Arial"/>
      <w:sz w:val="20"/>
      <w:szCs w:val="20"/>
    </w:rPr>
  </w:style>
  <w:style w:type="character" w:styleId="Appelnotedebasdep">
    <w:name w:val="footnote reference"/>
    <w:basedOn w:val="Policepardfaut"/>
    <w:uiPriority w:val="99"/>
    <w:semiHidden/>
    <w:unhideWhenUsed/>
    <w:rsid w:val="00D7257A"/>
    <w:rPr>
      <w:vertAlign w:val="superscript"/>
    </w:rPr>
  </w:style>
  <w:style w:type="character" w:styleId="Marquedecommentaire">
    <w:name w:val="annotation reference"/>
    <w:basedOn w:val="Policepardfaut"/>
    <w:uiPriority w:val="99"/>
    <w:semiHidden/>
    <w:unhideWhenUsed/>
    <w:rsid w:val="00D7257A"/>
    <w:rPr>
      <w:sz w:val="16"/>
      <w:szCs w:val="16"/>
    </w:rPr>
  </w:style>
  <w:style w:type="paragraph" w:styleId="Commentaire">
    <w:name w:val="annotation text"/>
    <w:basedOn w:val="Normal"/>
    <w:link w:val="CommentaireCar"/>
    <w:uiPriority w:val="99"/>
    <w:semiHidden/>
    <w:unhideWhenUsed/>
    <w:rsid w:val="00D7257A"/>
    <w:pPr>
      <w:spacing w:line="240" w:lineRule="auto"/>
    </w:pPr>
    <w:rPr>
      <w:szCs w:val="20"/>
    </w:rPr>
  </w:style>
  <w:style w:type="character" w:customStyle="1" w:styleId="CommentaireCar">
    <w:name w:val="Commentaire Car"/>
    <w:basedOn w:val="Policepardfaut"/>
    <w:link w:val="Commentaire"/>
    <w:uiPriority w:val="99"/>
    <w:semiHidden/>
    <w:rsid w:val="00D7257A"/>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D7257A"/>
    <w:rPr>
      <w:b/>
      <w:bCs/>
    </w:rPr>
  </w:style>
  <w:style w:type="character" w:customStyle="1" w:styleId="ObjetducommentaireCar">
    <w:name w:val="Objet du commentaire Car"/>
    <w:basedOn w:val="CommentaireCar"/>
    <w:link w:val="Objetducommentaire"/>
    <w:uiPriority w:val="99"/>
    <w:semiHidden/>
    <w:rsid w:val="00D7257A"/>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50E8"/>
    <w:pPr>
      <w:jc w:val="both"/>
    </w:pPr>
    <w:rPr>
      <w:rFonts w:ascii="Arial" w:hAnsi="Arial"/>
      <w:sz w:val="20"/>
    </w:rPr>
  </w:style>
  <w:style w:type="paragraph" w:styleId="Titre1">
    <w:name w:val="heading 1"/>
    <w:basedOn w:val="Normal"/>
    <w:next w:val="Normal"/>
    <w:link w:val="Titre1Car"/>
    <w:uiPriority w:val="9"/>
    <w:qFormat/>
    <w:rsid w:val="00E650E8"/>
    <w:pPr>
      <w:keepNext/>
      <w:keepLine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227C3"/>
    <w:pPr>
      <w:keepNext/>
      <w:keepLines/>
      <w:spacing w:before="200" w:after="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6227C3"/>
    <w:pPr>
      <w:keepNext/>
      <w:keepLines/>
      <w:spacing w:before="200" w:after="0"/>
      <w:outlineLvl w:val="2"/>
    </w:pPr>
    <w:rPr>
      <w:rFonts w:eastAsiaTheme="majorEastAsia" w:cstheme="majorBidi"/>
      <w:b/>
      <w:bCs/>
      <w:color w:val="4F81BD" w:themeColor="accent1"/>
    </w:rPr>
  </w:style>
  <w:style w:type="paragraph" w:styleId="Titre4">
    <w:name w:val="heading 4"/>
    <w:basedOn w:val="Normal"/>
    <w:next w:val="Normal"/>
    <w:link w:val="Titre4Car"/>
    <w:uiPriority w:val="9"/>
    <w:unhideWhenUsed/>
    <w:qFormat/>
    <w:rsid w:val="006227C3"/>
    <w:pPr>
      <w:keepNext/>
      <w:keepLines/>
      <w:spacing w:before="200" w:after="0"/>
      <w:outlineLvl w:val="3"/>
    </w:pPr>
    <w:rPr>
      <w:rFonts w:eastAsiaTheme="majorEastAsia" w:cstheme="majorBidi"/>
      <w:b/>
      <w:bCs/>
      <w:i/>
      <w:iCs/>
      <w:color w:val="4F81BD" w:themeColor="accent1"/>
    </w:rPr>
  </w:style>
  <w:style w:type="paragraph" w:styleId="Titre5">
    <w:name w:val="heading 5"/>
    <w:basedOn w:val="Normal"/>
    <w:next w:val="Normal"/>
    <w:link w:val="Titre5Car"/>
    <w:uiPriority w:val="9"/>
    <w:semiHidden/>
    <w:unhideWhenUsed/>
    <w:qFormat/>
    <w:rsid w:val="00D7257A"/>
    <w:pPr>
      <w:keepNext/>
      <w:keepLines/>
      <w:spacing w:before="40" w:after="0"/>
      <w:ind w:left="1008" w:hanging="1008"/>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D7257A"/>
    <w:pPr>
      <w:keepNext/>
      <w:keepLines/>
      <w:spacing w:before="40" w:after="0"/>
      <w:ind w:left="1152" w:hanging="1152"/>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D7257A"/>
    <w:pPr>
      <w:keepNext/>
      <w:keepLines/>
      <w:spacing w:before="40" w:after="0"/>
      <w:ind w:left="1296" w:hanging="1296"/>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D7257A"/>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7257A"/>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50E8"/>
    <w:rPr>
      <w:rFonts w:ascii="Arial" w:eastAsiaTheme="majorEastAsia" w:hAnsi="Arial" w:cstheme="majorBidi"/>
      <w:b/>
      <w:bCs/>
      <w:color w:val="365F91" w:themeColor="accent1" w:themeShade="BF"/>
      <w:sz w:val="28"/>
      <w:szCs w:val="28"/>
    </w:rPr>
  </w:style>
  <w:style w:type="character" w:customStyle="1" w:styleId="Titre2Car">
    <w:name w:val="Titre 2 Car"/>
    <w:basedOn w:val="Policepardfaut"/>
    <w:link w:val="Titre2"/>
    <w:uiPriority w:val="9"/>
    <w:rsid w:val="006227C3"/>
    <w:rPr>
      <w:rFonts w:ascii="Arial" w:eastAsiaTheme="majorEastAsia" w:hAnsi="Arial" w:cstheme="majorBidi"/>
      <w:b/>
      <w:bCs/>
      <w:color w:val="4F81BD" w:themeColor="accent1"/>
      <w:sz w:val="26"/>
      <w:szCs w:val="26"/>
    </w:rPr>
  </w:style>
  <w:style w:type="character" w:customStyle="1" w:styleId="Titre3Car">
    <w:name w:val="Titre 3 Car"/>
    <w:basedOn w:val="Policepardfaut"/>
    <w:link w:val="Titre3"/>
    <w:uiPriority w:val="9"/>
    <w:rsid w:val="006227C3"/>
    <w:rPr>
      <w:rFonts w:ascii="Arial" w:eastAsiaTheme="majorEastAsia" w:hAnsi="Arial" w:cstheme="majorBidi"/>
      <w:b/>
      <w:bCs/>
      <w:color w:val="4F81BD" w:themeColor="accent1"/>
      <w:sz w:val="20"/>
    </w:rPr>
  </w:style>
  <w:style w:type="character" w:customStyle="1" w:styleId="Titre4Car">
    <w:name w:val="Titre 4 Car"/>
    <w:basedOn w:val="Policepardfaut"/>
    <w:link w:val="Titre4"/>
    <w:uiPriority w:val="9"/>
    <w:rsid w:val="006227C3"/>
    <w:rPr>
      <w:rFonts w:ascii="Arial" w:eastAsiaTheme="majorEastAsia" w:hAnsi="Arial" w:cstheme="majorBidi"/>
      <w:b/>
      <w:bCs/>
      <w:i/>
      <w:iCs/>
      <w:color w:val="4F81BD" w:themeColor="accent1"/>
      <w:sz w:val="20"/>
    </w:rPr>
  </w:style>
  <w:style w:type="paragraph" w:styleId="En-tte">
    <w:name w:val="header"/>
    <w:basedOn w:val="Normal"/>
    <w:link w:val="En-tteCar"/>
    <w:uiPriority w:val="99"/>
    <w:unhideWhenUsed/>
    <w:rsid w:val="00152828"/>
    <w:pPr>
      <w:tabs>
        <w:tab w:val="center" w:pos="4536"/>
        <w:tab w:val="right" w:pos="9072"/>
      </w:tabs>
      <w:spacing w:after="0" w:line="240" w:lineRule="auto"/>
    </w:pPr>
  </w:style>
  <w:style w:type="character" w:customStyle="1" w:styleId="En-tteCar">
    <w:name w:val="En-tête Car"/>
    <w:basedOn w:val="Policepardfaut"/>
    <w:link w:val="En-tte"/>
    <w:uiPriority w:val="99"/>
    <w:rsid w:val="00152828"/>
    <w:rPr>
      <w:rFonts w:ascii="Arial" w:hAnsi="Arial"/>
      <w:sz w:val="20"/>
    </w:rPr>
  </w:style>
  <w:style w:type="paragraph" w:styleId="Pieddepage">
    <w:name w:val="footer"/>
    <w:basedOn w:val="Normal"/>
    <w:link w:val="PieddepageCar"/>
    <w:uiPriority w:val="99"/>
    <w:unhideWhenUsed/>
    <w:rsid w:val="001528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2828"/>
    <w:rPr>
      <w:rFonts w:ascii="Arial" w:hAnsi="Arial"/>
      <w:sz w:val="20"/>
    </w:rPr>
  </w:style>
  <w:style w:type="paragraph" w:styleId="Textedebulles">
    <w:name w:val="Balloon Text"/>
    <w:basedOn w:val="Normal"/>
    <w:link w:val="TextedebullesCar"/>
    <w:uiPriority w:val="99"/>
    <w:semiHidden/>
    <w:unhideWhenUsed/>
    <w:rsid w:val="001528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2828"/>
    <w:rPr>
      <w:rFonts w:ascii="Tahoma" w:hAnsi="Tahoma" w:cs="Tahoma"/>
      <w:sz w:val="16"/>
      <w:szCs w:val="16"/>
    </w:rPr>
  </w:style>
  <w:style w:type="paragraph" w:styleId="Sansinterligne">
    <w:name w:val="No Spacing"/>
    <w:link w:val="SansinterligneCar"/>
    <w:uiPriority w:val="1"/>
    <w:qFormat/>
    <w:rsid w:val="00E650E8"/>
    <w:pPr>
      <w:spacing w:after="0" w:line="240" w:lineRule="auto"/>
      <w:jc w:val="both"/>
    </w:pPr>
    <w:rPr>
      <w:rFonts w:ascii="Arial" w:eastAsiaTheme="minorEastAsia" w:hAnsi="Arial"/>
      <w:sz w:val="20"/>
      <w:lang w:val="fr-FR"/>
    </w:rPr>
  </w:style>
  <w:style w:type="character" w:customStyle="1" w:styleId="SansinterligneCar">
    <w:name w:val="Sans interligne Car"/>
    <w:basedOn w:val="Policepardfaut"/>
    <w:link w:val="Sansinterligne"/>
    <w:uiPriority w:val="1"/>
    <w:rsid w:val="00E650E8"/>
    <w:rPr>
      <w:rFonts w:ascii="Arial" w:eastAsiaTheme="minorEastAsia" w:hAnsi="Arial"/>
      <w:sz w:val="20"/>
      <w:lang w:val="fr-FR"/>
    </w:rPr>
  </w:style>
  <w:style w:type="character" w:styleId="Textedelespacerserv">
    <w:name w:val="Placeholder Text"/>
    <w:basedOn w:val="Policepardfaut"/>
    <w:uiPriority w:val="99"/>
    <w:semiHidden/>
    <w:rsid w:val="00F3402A"/>
    <w:rPr>
      <w:color w:val="808080"/>
    </w:rPr>
  </w:style>
  <w:style w:type="paragraph" w:styleId="Titre">
    <w:name w:val="Title"/>
    <w:basedOn w:val="Sansinterligne"/>
    <w:next w:val="Normal"/>
    <w:link w:val="TitreCar"/>
    <w:uiPriority w:val="10"/>
    <w:qFormat/>
    <w:rsid w:val="00616807"/>
    <w:pPr>
      <w:jc w:val="left"/>
    </w:pPr>
    <w:rPr>
      <w:rFonts w:eastAsiaTheme="majorEastAsia" w:cs="Arial"/>
      <w:b/>
      <w:color w:val="0A00BE"/>
      <w:sz w:val="96"/>
      <w:szCs w:val="72"/>
      <w:lang w:val="fr-BE"/>
    </w:rPr>
  </w:style>
  <w:style w:type="character" w:customStyle="1" w:styleId="TitreCar">
    <w:name w:val="Titre Car"/>
    <w:basedOn w:val="Policepardfaut"/>
    <w:link w:val="Titre"/>
    <w:uiPriority w:val="10"/>
    <w:rsid w:val="00616807"/>
    <w:rPr>
      <w:rFonts w:ascii="Arial" w:eastAsiaTheme="majorEastAsia" w:hAnsi="Arial" w:cs="Arial"/>
      <w:b/>
      <w:color w:val="0A00BE"/>
      <w:sz w:val="96"/>
      <w:szCs w:val="72"/>
    </w:rPr>
  </w:style>
  <w:style w:type="paragraph" w:customStyle="1" w:styleId="Sous-titredudocument">
    <w:name w:val="Sous-titre du document"/>
    <w:basedOn w:val="Titre1"/>
    <w:link w:val="Sous-titredudocumentCar"/>
    <w:qFormat/>
    <w:rsid w:val="00616807"/>
    <w:rPr>
      <w:sz w:val="32"/>
    </w:rPr>
  </w:style>
  <w:style w:type="character" w:customStyle="1" w:styleId="Sous-titredudocumentCar">
    <w:name w:val="Sous-titre du document Car"/>
    <w:basedOn w:val="Titre1Car"/>
    <w:link w:val="Sous-titredudocument"/>
    <w:rsid w:val="00616807"/>
    <w:rPr>
      <w:rFonts w:ascii="Arial" w:eastAsiaTheme="majorEastAsia" w:hAnsi="Arial" w:cstheme="majorBidi"/>
      <w:b/>
      <w:bCs/>
      <w:color w:val="365F91" w:themeColor="accent1" w:themeShade="BF"/>
      <w:sz w:val="32"/>
      <w:szCs w:val="28"/>
    </w:rPr>
  </w:style>
  <w:style w:type="character" w:customStyle="1" w:styleId="Titre5Car">
    <w:name w:val="Titre 5 Car"/>
    <w:basedOn w:val="Policepardfaut"/>
    <w:link w:val="Titre5"/>
    <w:uiPriority w:val="9"/>
    <w:semiHidden/>
    <w:rsid w:val="00D7257A"/>
    <w:rPr>
      <w:rFonts w:asciiTheme="majorHAnsi" w:eastAsiaTheme="majorEastAsia" w:hAnsiTheme="majorHAnsi" w:cstheme="majorBidi"/>
      <w:color w:val="365F91" w:themeColor="accent1" w:themeShade="BF"/>
      <w:sz w:val="20"/>
    </w:rPr>
  </w:style>
  <w:style w:type="character" w:customStyle="1" w:styleId="Titre6Car">
    <w:name w:val="Titre 6 Car"/>
    <w:basedOn w:val="Policepardfaut"/>
    <w:link w:val="Titre6"/>
    <w:uiPriority w:val="9"/>
    <w:semiHidden/>
    <w:rsid w:val="00D7257A"/>
    <w:rPr>
      <w:rFonts w:asciiTheme="majorHAnsi" w:eastAsiaTheme="majorEastAsia" w:hAnsiTheme="majorHAnsi" w:cstheme="majorBidi"/>
      <w:color w:val="243F60" w:themeColor="accent1" w:themeShade="7F"/>
      <w:sz w:val="20"/>
    </w:rPr>
  </w:style>
  <w:style w:type="character" w:customStyle="1" w:styleId="Titre7Car">
    <w:name w:val="Titre 7 Car"/>
    <w:basedOn w:val="Policepardfaut"/>
    <w:link w:val="Titre7"/>
    <w:uiPriority w:val="9"/>
    <w:semiHidden/>
    <w:rsid w:val="00D7257A"/>
    <w:rPr>
      <w:rFonts w:asciiTheme="majorHAnsi" w:eastAsiaTheme="majorEastAsia" w:hAnsiTheme="majorHAnsi" w:cstheme="majorBidi"/>
      <w:i/>
      <w:iCs/>
      <w:color w:val="243F60" w:themeColor="accent1" w:themeShade="7F"/>
      <w:sz w:val="20"/>
    </w:rPr>
  </w:style>
  <w:style w:type="character" w:customStyle="1" w:styleId="Titre8Car">
    <w:name w:val="Titre 8 Car"/>
    <w:basedOn w:val="Policepardfaut"/>
    <w:link w:val="Titre8"/>
    <w:uiPriority w:val="9"/>
    <w:semiHidden/>
    <w:rsid w:val="00D7257A"/>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7257A"/>
    <w:rPr>
      <w:rFonts w:asciiTheme="majorHAnsi" w:eastAsiaTheme="majorEastAsia" w:hAnsiTheme="majorHAnsi" w:cstheme="majorBidi"/>
      <w:i/>
      <w:iCs/>
      <w:color w:val="272727" w:themeColor="text1" w:themeTint="D8"/>
      <w:sz w:val="21"/>
      <w:szCs w:val="21"/>
    </w:rPr>
  </w:style>
  <w:style w:type="paragraph" w:styleId="En-ttedetabledesmatires">
    <w:name w:val="TOC Heading"/>
    <w:basedOn w:val="Titre1"/>
    <w:next w:val="Normal"/>
    <w:uiPriority w:val="39"/>
    <w:semiHidden/>
    <w:unhideWhenUsed/>
    <w:qFormat/>
    <w:rsid w:val="00D7257A"/>
    <w:pPr>
      <w:jc w:val="left"/>
      <w:outlineLvl w:val="9"/>
    </w:pPr>
    <w:rPr>
      <w:rFonts w:asciiTheme="majorHAnsi" w:hAnsiTheme="majorHAnsi"/>
      <w:lang w:eastAsia="fr-BE"/>
    </w:rPr>
  </w:style>
  <w:style w:type="paragraph" w:styleId="TM1">
    <w:name w:val="toc 1"/>
    <w:basedOn w:val="Normal"/>
    <w:next w:val="Normal"/>
    <w:autoRedefine/>
    <w:uiPriority w:val="39"/>
    <w:unhideWhenUsed/>
    <w:qFormat/>
    <w:rsid w:val="00D7257A"/>
    <w:pPr>
      <w:spacing w:after="100"/>
    </w:pPr>
  </w:style>
  <w:style w:type="paragraph" w:styleId="TM2">
    <w:name w:val="toc 2"/>
    <w:basedOn w:val="Normal"/>
    <w:next w:val="Normal"/>
    <w:autoRedefine/>
    <w:uiPriority w:val="39"/>
    <w:unhideWhenUsed/>
    <w:qFormat/>
    <w:rsid w:val="00D7257A"/>
    <w:pPr>
      <w:spacing w:after="100"/>
      <w:ind w:left="220"/>
      <w:jc w:val="left"/>
    </w:pPr>
    <w:rPr>
      <w:rFonts w:asciiTheme="minorHAnsi" w:eastAsiaTheme="minorEastAsia" w:hAnsiTheme="minorHAnsi"/>
      <w:sz w:val="22"/>
      <w:lang w:eastAsia="fr-BE"/>
    </w:rPr>
  </w:style>
  <w:style w:type="paragraph" w:styleId="TM3">
    <w:name w:val="toc 3"/>
    <w:basedOn w:val="Normal"/>
    <w:next w:val="Normal"/>
    <w:autoRedefine/>
    <w:uiPriority w:val="39"/>
    <w:unhideWhenUsed/>
    <w:qFormat/>
    <w:rsid w:val="00D7257A"/>
    <w:pPr>
      <w:spacing w:after="100"/>
      <w:ind w:left="440"/>
      <w:jc w:val="left"/>
    </w:pPr>
    <w:rPr>
      <w:rFonts w:asciiTheme="minorHAnsi" w:eastAsiaTheme="minorEastAsia" w:hAnsiTheme="minorHAnsi"/>
      <w:sz w:val="22"/>
      <w:lang w:eastAsia="fr-BE"/>
    </w:rPr>
  </w:style>
  <w:style w:type="character" w:styleId="Lienhypertexte">
    <w:name w:val="Hyperlink"/>
    <w:basedOn w:val="Policepardfaut"/>
    <w:uiPriority w:val="99"/>
    <w:unhideWhenUsed/>
    <w:rsid w:val="00D7257A"/>
    <w:rPr>
      <w:color w:val="0000FF" w:themeColor="hyperlink"/>
      <w:u w:val="single"/>
    </w:rPr>
  </w:style>
  <w:style w:type="table" w:styleId="Grilledutableau">
    <w:name w:val="Table Grid"/>
    <w:basedOn w:val="TableauNormal"/>
    <w:uiPriority w:val="59"/>
    <w:rsid w:val="00D72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D7257A"/>
    <w:pPr>
      <w:ind w:left="720"/>
      <w:contextualSpacing/>
    </w:pPr>
  </w:style>
  <w:style w:type="paragraph" w:customStyle="1" w:styleId="Lettercontact">
    <w:name w:val="Letter_contact"/>
    <w:basedOn w:val="Normal"/>
    <w:rsid w:val="00D7257A"/>
    <w:pPr>
      <w:spacing w:line="200" w:lineRule="exact"/>
    </w:pPr>
    <w:rPr>
      <w:rFonts w:eastAsia="Times New Roman" w:cs="Times New Roman"/>
      <w:sz w:val="16"/>
      <w:szCs w:val="20"/>
      <w:lang w:val="en-US"/>
    </w:rPr>
  </w:style>
  <w:style w:type="paragraph" w:styleId="Notedebasdepage">
    <w:name w:val="footnote text"/>
    <w:basedOn w:val="Normal"/>
    <w:link w:val="NotedebasdepageCar"/>
    <w:uiPriority w:val="99"/>
    <w:semiHidden/>
    <w:unhideWhenUsed/>
    <w:rsid w:val="00D7257A"/>
    <w:pPr>
      <w:spacing w:after="0" w:line="240" w:lineRule="auto"/>
    </w:pPr>
    <w:rPr>
      <w:szCs w:val="20"/>
    </w:rPr>
  </w:style>
  <w:style w:type="character" w:customStyle="1" w:styleId="NotedebasdepageCar">
    <w:name w:val="Note de bas de page Car"/>
    <w:basedOn w:val="Policepardfaut"/>
    <w:link w:val="Notedebasdepage"/>
    <w:uiPriority w:val="99"/>
    <w:semiHidden/>
    <w:rsid w:val="00D7257A"/>
    <w:rPr>
      <w:rFonts w:ascii="Arial" w:hAnsi="Arial"/>
      <w:sz w:val="20"/>
      <w:szCs w:val="20"/>
    </w:rPr>
  </w:style>
  <w:style w:type="character" w:styleId="Appelnotedebasdep">
    <w:name w:val="footnote reference"/>
    <w:basedOn w:val="Policepardfaut"/>
    <w:uiPriority w:val="99"/>
    <w:semiHidden/>
    <w:unhideWhenUsed/>
    <w:rsid w:val="00D7257A"/>
    <w:rPr>
      <w:vertAlign w:val="superscript"/>
    </w:rPr>
  </w:style>
  <w:style w:type="character" w:styleId="Marquedecommentaire">
    <w:name w:val="annotation reference"/>
    <w:basedOn w:val="Policepardfaut"/>
    <w:uiPriority w:val="99"/>
    <w:semiHidden/>
    <w:unhideWhenUsed/>
    <w:rsid w:val="00D7257A"/>
    <w:rPr>
      <w:sz w:val="16"/>
      <w:szCs w:val="16"/>
    </w:rPr>
  </w:style>
  <w:style w:type="paragraph" w:styleId="Commentaire">
    <w:name w:val="annotation text"/>
    <w:basedOn w:val="Normal"/>
    <w:link w:val="CommentaireCar"/>
    <w:uiPriority w:val="99"/>
    <w:semiHidden/>
    <w:unhideWhenUsed/>
    <w:rsid w:val="00D7257A"/>
    <w:pPr>
      <w:spacing w:line="240" w:lineRule="auto"/>
    </w:pPr>
    <w:rPr>
      <w:szCs w:val="20"/>
    </w:rPr>
  </w:style>
  <w:style w:type="character" w:customStyle="1" w:styleId="CommentaireCar">
    <w:name w:val="Commentaire Car"/>
    <w:basedOn w:val="Policepardfaut"/>
    <w:link w:val="Commentaire"/>
    <w:uiPriority w:val="99"/>
    <w:semiHidden/>
    <w:rsid w:val="00D7257A"/>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D7257A"/>
    <w:rPr>
      <w:b/>
      <w:bCs/>
    </w:rPr>
  </w:style>
  <w:style w:type="character" w:customStyle="1" w:styleId="ObjetducommentaireCar">
    <w:name w:val="Objet du commentaire Car"/>
    <w:basedOn w:val="CommentaireCar"/>
    <w:link w:val="Objetducommentaire"/>
    <w:uiPriority w:val="99"/>
    <w:semiHidden/>
    <w:rsid w:val="00D7257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415089">
      <w:bodyDiv w:val="1"/>
      <w:marLeft w:val="0"/>
      <w:marRight w:val="0"/>
      <w:marTop w:val="0"/>
      <w:marBottom w:val="0"/>
      <w:divBdr>
        <w:top w:val="none" w:sz="0" w:space="0" w:color="auto"/>
        <w:left w:val="none" w:sz="0" w:space="0" w:color="auto"/>
        <w:bottom w:val="none" w:sz="0" w:space="0" w:color="auto"/>
        <w:right w:val="none" w:sz="0" w:space="0" w:color="auto"/>
      </w:divBdr>
      <w:divsChild>
        <w:div w:id="1944728238">
          <w:marLeft w:val="0"/>
          <w:marRight w:val="0"/>
          <w:marTop w:val="0"/>
          <w:marBottom w:val="0"/>
          <w:divBdr>
            <w:top w:val="none" w:sz="0" w:space="0" w:color="auto"/>
            <w:left w:val="none" w:sz="0" w:space="0" w:color="auto"/>
            <w:bottom w:val="none" w:sz="0" w:space="0" w:color="auto"/>
            <w:right w:val="none" w:sz="0" w:space="0" w:color="auto"/>
          </w:divBdr>
          <w:divsChild>
            <w:div w:id="375934411">
              <w:marLeft w:val="0"/>
              <w:marRight w:val="0"/>
              <w:marTop w:val="0"/>
              <w:marBottom w:val="0"/>
              <w:divBdr>
                <w:top w:val="none" w:sz="0" w:space="0" w:color="auto"/>
                <w:left w:val="none" w:sz="0" w:space="0" w:color="auto"/>
                <w:bottom w:val="none" w:sz="0" w:space="0" w:color="auto"/>
                <w:right w:val="none" w:sz="0" w:space="0" w:color="auto"/>
              </w:divBdr>
              <w:divsChild>
                <w:div w:id="118382319">
                  <w:marLeft w:val="0"/>
                  <w:marRight w:val="0"/>
                  <w:marTop w:val="0"/>
                  <w:marBottom w:val="0"/>
                  <w:divBdr>
                    <w:top w:val="none" w:sz="0" w:space="0" w:color="auto"/>
                    <w:left w:val="none" w:sz="0" w:space="0" w:color="auto"/>
                    <w:bottom w:val="none" w:sz="0" w:space="0" w:color="auto"/>
                    <w:right w:val="none" w:sz="0" w:space="0" w:color="auto"/>
                  </w:divBdr>
                  <w:divsChild>
                    <w:div w:id="1047947228">
                      <w:marLeft w:val="0"/>
                      <w:marRight w:val="0"/>
                      <w:marTop w:val="0"/>
                      <w:marBottom w:val="0"/>
                      <w:divBdr>
                        <w:top w:val="none" w:sz="0" w:space="0" w:color="auto"/>
                        <w:left w:val="none" w:sz="0" w:space="0" w:color="auto"/>
                        <w:bottom w:val="none" w:sz="0" w:space="0" w:color="auto"/>
                        <w:right w:val="none" w:sz="0" w:space="0" w:color="auto"/>
                      </w:divBdr>
                      <w:divsChild>
                        <w:div w:id="1755930746">
                          <w:marLeft w:val="0"/>
                          <w:marRight w:val="0"/>
                          <w:marTop w:val="0"/>
                          <w:marBottom w:val="0"/>
                          <w:divBdr>
                            <w:top w:val="none" w:sz="0" w:space="0" w:color="auto"/>
                            <w:left w:val="none" w:sz="0" w:space="0" w:color="auto"/>
                            <w:bottom w:val="none" w:sz="0" w:space="0" w:color="auto"/>
                            <w:right w:val="none" w:sz="0" w:space="0" w:color="auto"/>
                          </w:divBdr>
                          <w:divsChild>
                            <w:div w:id="1711029458">
                              <w:marLeft w:val="0"/>
                              <w:marRight w:val="0"/>
                              <w:marTop w:val="0"/>
                              <w:marBottom w:val="0"/>
                              <w:divBdr>
                                <w:top w:val="none" w:sz="0" w:space="0" w:color="auto"/>
                                <w:left w:val="none" w:sz="0" w:space="0" w:color="auto"/>
                                <w:bottom w:val="none" w:sz="0" w:space="0" w:color="auto"/>
                                <w:right w:val="none" w:sz="0" w:space="0" w:color="auto"/>
                              </w:divBdr>
                              <w:divsChild>
                                <w:div w:id="1553492505">
                                  <w:marLeft w:val="0"/>
                                  <w:marRight w:val="0"/>
                                  <w:marTop w:val="0"/>
                                  <w:marBottom w:val="0"/>
                                  <w:divBdr>
                                    <w:top w:val="none" w:sz="0" w:space="0" w:color="auto"/>
                                    <w:left w:val="none" w:sz="0" w:space="0" w:color="auto"/>
                                    <w:bottom w:val="none" w:sz="0" w:space="0" w:color="auto"/>
                                    <w:right w:val="none" w:sz="0" w:space="0" w:color="auto"/>
                                  </w:divBdr>
                                  <w:divsChild>
                                    <w:div w:id="1417894410">
                                      <w:marLeft w:val="0"/>
                                      <w:marRight w:val="0"/>
                                      <w:marTop w:val="0"/>
                                      <w:marBottom w:val="0"/>
                                      <w:divBdr>
                                        <w:top w:val="none" w:sz="0" w:space="0" w:color="auto"/>
                                        <w:left w:val="none" w:sz="0" w:space="0" w:color="auto"/>
                                        <w:bottom w:val="none" w:sz="0" w:space="0" w:color="auto"/>
                                        <w:right w:val="none" w:sz="0" w:space="0" w:color="auto"/>
                                      </w:divBdr>
                                      <w:divsChild>
                                        <w:div w:id="15324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vandevoorde\AppData\Local\Microsoft\Windows\INetCache\Content.Outlook\NT9DI0CK\Riviere%20CR%20rapport%202017%20-%20ReluBEE_NL-BE.docx" TargetMode="External"/><Relationship Id="rId13" Type="http://schemas.openxmlformats.org/officeDocument/2006/relationships/chart" Target="charts/chart4.xml"/><Relationship Id="rId18" Type="http://schemas.openxmlformats.org/officeDocument/2006/relationships/chart" Target="charts/chart8.xml"/><Relationship Id="rId26" Type="http://schemas.openxmlformats.org/officeDocument/2006/relationships/chart" Target="charts/chart16.xml"/><Relationship Id="rId3" Type="http://schemas.microsoft.com/office/2007/relationships/stylesWithEffects" Target="stylesWithEffect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1.emf"/><Relationship Id="rId25" Type="http://schemas.openxmlformats.org/officeDocument/2006/relationships/chart" Target="charts/chart15.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0.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3.xml"/><Relationship Id="rId28"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chart" Target="charts/chart9.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riviere@sprb.brussels" TargetMode="External"/><Relationship Id="rId14" Type="http://schemas.openxmlformats.org/officeDocument/2006/relationships/chart" Target="charts/chart5.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258010118043842E-2"/>
          <c:y val="3.8720538720538718E-2"/>
          <c:w val="0.92242833052276563"/>
          <c:h val="0.89057239057239057"/>
        </c:manualLayout>
      </c:layout>
      <c:barChart>
        <c:barDir val="col"/>
        <c:grouping val="clustered"/>
        <c:varyColors val="0"/>
        <c:ser>
          <c:idx val="0"/>
          <c:order val="0"/>
          <c:tx>
            <c:strRef>
              <c:f>Sheet1!$A$2</c:f>
              <c:strCache>
                <c:ptCount val="1"/>
                <c:pt idx="0">
                  <c:v>Ingediende dossiers</c:v>
                </c:pt>
              </c:strCache>
            </c:strRef>
          </c:tx>
          <c:spPr>
            <a:solidFill>
              <a:srgbClr val="C0C0C0"/>
            </a:solidFill>
            <a:ln w="25365">
              <a:noFill/>
            </a:ln>
          </c:spPr>
          <c:invertIfNegative val="0"/>
          <c:dLbls>
            <c:dLbl>
              <c:idx val="0"/>
              <c:layout>
                <c:manualLayout>
                  <c:x val="4.1474014109280522E-3"/>
                  <c:y val="-1.6836038031721904E-2"/>
                </c:manualLayout>
              </c:layout>
              <c:dLblPos val="outEnd"/>
              <c:showLegendKey val="0"/>
              <c:showVal val="1"/>
              <c:showCatName val="0"/>
              <c:showSerName val="0"/>
              <c:showPercent val="0"/>
              <c:showBubbleSize val="0"/>
            </c:dLbl>
            <c:spPr>
              <a:noFill/>
              <a:ln w="25365">
                <a:noFill/>
              </a:ln>
            </c:spPr>
            <c:txPr>
              <a:bodyPr/>
              <a:lstStyle/>
              <a:p>
                <a:pPr>
                  <a:defRPr sz="799" b="1" i="0" u="none" strike="noStrike" baseline="0">
                    <a:solidFill>
                      <a:srgbClr val="000000"/>
                    </a:solidFill>
                    <a:latin typeface="Arial"/>
                    <a:ea typeface="Arial"/>
                    <a:cs typeface="Arial"/>
                  </a:defRPr>
                </a:pPr>
                <a:endParaRPr lang="fr-FR"/>
              </a:p>
            </c:txPr>
            <c:dLblPos val="outEnd"/>
            <c:showLegendKey val="0"/>
            <c:showVal val="1"/>
            <c:showCatName val="0"/>
            <c:showSerName val="0"/>
            <c:showPercent val="0"/>
            <c:showBubbleSize val="0"/>
            <c:showLeaderLines val="0"/>
          </c:dLbls>
          <c:cat>
            <c:strRef>
              <c:f>Sheet1!$B$1:$E$1</c:f>
              <c:strCache>
                <c:ptCount val="4"/>
                <c:pt idx="0">
                  <c:v>SOFT</c:v>
                </c:pt>
                <c:pt idx="1">
                  <c:v>COMEXT</c:v>
                </c:pt>
                <c:pt idx="2">
                  <c:v>ALGEMENE invest.</c:v>
                </c:pt>
                <c:pt idx="3">
                  <c:v>SPECIFIEKE invest.</c:v>
                </c:pt>
              </c:strCache>
            </c:strRef>
          </c:cat>
          <c:val>
            <c:numRef>
              <c:f>Sheet1!$B$2:$E$2</c:f>
              <c:numCache>
                <c:formatCode>General</c:formatCode>
                <c:ptCount val="4"/>
                <c:pt idx="0">
                  <c:v>2668</c:v>
                </c:pt>
                <c:pt idx="1">
                  <c:v>1212</c:v>
                </c:pt>
                <c:pt idx="2">
                  <c:v>762</c:v>
                </c:pt>
                <c:pt idx="3">
                  <c:v>667</c:v>
                </c:pt>
              </c:numCache>
            </c:numRef>
          </c:val>
        </c:ser>
        <c:ser>
          <c:idx val="1"/>
          <c:order val="1"/>
          <c:tx>
            <c:strRef>
              <c:f>Sheet1!$A$3</c:f>
              <c:strCache>
                <c:ptCount val="1"/>
                <c:pt idx="0">
                  <c:v>Totaal aantal beslissingen</c:v>
                </c:pt>
              </c:strCache>
            </c:strRef>
          </c:tx>
          <c:spPr>
            <a:solidFill>
              <a:srgbClr val="00CCFF"/>
            </a:solidFill>
            <a:ln w="12682">
              <a:solidFill>
                <a:srgbClr val="00CCFF"/>
              </a:solidFill>
            </a:ln>
          </c:spPr>
          <c:invertIfNegative val="0"/>
          <c:dLbls>
            <c:dLbl>
              <c:idx val="0"/>
              <c:layout>
                <c:manualLayout>
                  <c:x val="4.3772824774755094E-3"/>
                  <c:y val="-5.2233687773689764E-3"/>
                </c:manualLayout>
              </c:layout>
              <c:dLblPos val="outEnd"/>
              <c:showLegendKey val="0"/>
              <c:showVal val="1"/>
              <c:showCatName val="0"/>
              <c:showSerName val="0"/>
              <c:showPercent val="0"/>
              <c:showBubbleSize val="0"/>
            </c:dLbl>
            <c:spPr>
              <a:noFill/>
              <a:ln w="25365">
                <a:noFill/>
              </a:ln>
            </c:spPr>
            <c:txPr>
              <a:bodyPr/>
              <a:lstStyle/>
              <a:p>
                <a:pPr>
                  <a:defRPr sz="799" b="1"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dLbls>
          <c:cat>
            <c:strRef>
              <c:f>Sheet1!$B$1:$E$1</c:f>
              <c:strCache>
                <c:ptCount val="4"/>
                <c:pt idx="0">
                  <c:v>SOFT</c:v>
                </c:pt>
                <c:pt idx="1">
                  <c:v>COMEXT</c:v>
                </c:pt>
                <c:pt idx="2">
                  <c:v>ALGEMENE invest.</c:v>
                </c:pt>
                <c:pt idx="3">
                  <c:v>SPECIFIEKE invest.</c:v>
                </c:pt>
              </c:strCache>
            </c:strRef>
          </c:cat>
          <c:val>
            <c:numRef>
              <c:f>Sheet1!$B$3:$E$3</c:f>
              <c:numCache>
                <c:formatCode>General</c:formatCode>
                <c:ptCount val="4"/>
                <c:pt idx="0">
                  <c:v>2428</c:v>
                </c:pt>
                <c:pt idx="1">
                  <c:v>1100</c:v>
                </c:pt>
                <c:pt idx="2">
                  <c:v>602</c:v>
                </c:pt>
                <c:pt idx="3">
                  <c:v>546</c:v>
                </c:pt>
              </c:numCache>
            </c:numRef>
          </c:val>
        </c:ser>
        <c:ser>
          <c:idx val="2"/>
          <c:order val="2"/>
          <c:tx>
            <c:strRef>
              <c:f>Sheet1!$A$4</c:f>
              <c:strCache>
                <c:ptCount val="1"/>
                <c:pt idx="0">
                  <c:v>Gunstinge beslissingen</c:v>
                </c:pt>
              </c:strCache>
            </c:strRef>
          </c:tx>
          <c:spPr>
            <a:solidFill>
              <a:srgbClr val="00FF00"/>
            </a:solidFill>
            <a:ln w="12682">
              <a:solidFill>
                <a:srgbClr val="00FF00"/>
              </a:solidFill>
            </a:ln>
          </c:spPr>
          <c:invertIfNegative val="0"/>
          <c:dLbls>
            <c:spPr>
              <a:noFill/>
              <a:ln w="25365">
                <a:noFill/>
              </a:ln>
            </c:spPr>
            <c:txPr>
              <a:bodyPr/>
              <a:lstStyle/>
              <a:p>
                <a:pPr>
                  <a:defRPr sz="799" b="1" i="0" u="none" strike="noStrike" baseline="0">
                    <a:solidFill>
                      <a:srgbClr val="000000"/>
                    </a:solidFill>
                    <a:latin typeface="Arial"/>
                    <a:ea typeface="Arial"/>
                    <a:cs typeface="Arial"/>
                  </a:defRPr>
                </a:pPr>
                <a:endParaRPr lang="fr-FR"/>
              </a:p>
            </c:txPr>
            <c:showLegendKey val="0"/>
            <c:showVal val="1"/>
            <c:showCatName val="0"/>
            <c:showSerName val="0"/>
            <c:showPercent val="0"/>
            <c:showBubbleSize val="0"/>
            <c:showLeaderLines val="0"/>
          </c:dLbls>
          <c:cat>
            <c:strRef>
              <c:f>Sheet1!$B$1:$E$1</c:f>
              <c:strCache>
                <c:ptCount val="4"/>
                <c:pt idx="0">
                  <c:v>SOFT</c:v>
                </c:pt>
                <c:pt idx="1">
                  <c:v>COMEXT</c:v>
                </c:pt>
                <c:pt idx="2">
                  <c:v>ALGEMENE invest.</c:v>
                </c:pt>
                <c:pt idx="3">
                  <c:v>SPECIFIEKE invest.</c:v>
                </c:pt>
              </c:strCache>
            </c:strRef>
          </c:cat>
          <c:val>
            <c:numRef>
              <c:f>Sheet1!$B$4:$E$4</c:f>
              <c:numCache>
                <c:formatCode>General</c:formatCode>
                <c:ptCount val="4"/>
                <c:pt idx="0">
                  <c:v>1905</c:v>
                </c:pt>
                <c:pt idx="1">
                  <c:v>896</c:v>
                </c:pt>
                <c:pt idx="2">
                  <c:v>403</c:v>
                </c:pt>
                <c:pt idx="3">
                  <c:v>301</c:v>
                </c:pt>
              </c:numCache>
            </c:numRef>
          </c:val>
        </c:ser>
        <c:ser>
          <c:idx val="3"/>
          <c:order val="3"/>
          <c:tx>
            <c:strRef>
              <c:f>Sheet1!$A$5</c:f>
              <c:strCache>
                <c:ptCount val="1"/>
                <c:pt idx="0">
                  <c:v>Aantal weigeringen</c:v>
                </c:pt>
              </c:strCache>
            </c:strRef>
          </c:tx>
          <c:spPr>
            <a:solidFill>
              <a:srgbClr val="FF0000"/>
            </a:solidFill>
            <a:ln w="12682">
              <a:solidFill>
                <a:srgbClr val="FF0000"/>
              </a:solidFill>
            </a:ln>
          </c:spPr>
          <c:invertIfNegative val="0"/>
          <c:dLbls>
            <c:spPr>
              <a:noFill/>
              <a:ln w="25365">
                <a:noFill/>
              </a:ln>
            </c:spPr>
            <c:txPr>
              <a:bodyPr/>
              <a:lstStyle/>
              <a:p>
                <a:pPr>
                  <a:defRPr sz="799" b="1" i="0" u="none" strike="noStrike" baseline="0">
                    <a:solidFill>
                      <a:srgbClr val="000000"/>
                    </a:solidFill>
                    <a:latin typeface="Arial"/>
                    <a:ea typeface="Arial"/>
                    <a:cs typeface="Arial"/>
                  </a:defRPr>
                </a:pPr>
                <a:endParaRPr lang="fr-FR"/>
              </a:p>
            </c:txPr>
            <c:dLblPos val="outEnd"/>
            <c:showLegendKey val="0"/>
            <c:showVal val="1"/>
            <c:showCatName val="0"/>
            <c:showSerName val="0"/>
            <c:showPercent val="0"/>
            <c:showBubbleSize val="0"/>
            <c:showLeaderLines val="0"/>
          </c:dLbls>
          <c:cat>
            <c:strRef>
              <c:f>Sheet1!$B$1:$E$1</c:f>
              <c:strCache>
                <c:ptCount val="4"/>
                <c:pt idx="0">
                  <c:v>SOFT</c:v>
                </c:pt>
                <c:pt idx="1">
                  <c:v>COMEXT</c:v>
                </c:pt>
                <c:pt idx="2">
                  <c:v>ALGEMENE invest.</c:v>
                </c:pt>
                <c:pt idx="3">
                  <c:v>SPECIFIEKE invest.</c:v>
                </c:pt>
              </c:strCache>
            </c:strRef>
          </c:cat>
          <c:val>
            <c:numRef>
              <c:f>Sheet1!$B$5:$E$5</c:f>
              <c:numCache>
                <c:formatCode>General</c:formatCode>
                <c:ptCount val="4"/>
                <c:pt idx="0">
                  <c:v>523</c:v>
                </c:pt>
                <c:pt idx="1">
                  <c:v>204</c:v>
                </c:pt>
                <c:pt idx="2">
                  <c:v>199</c:v>
                </c:pt>
                <c:pt idx="3">
                  <c:v>245</c:v>
                </c:pt>
              </c:numCache>
            </c:numRef>
          </c:val>
        </c:ser>
        <c:dLbls>
          <c:showLegendKey val="0"/>
          <c:showVal val="0"/>
          <c:showCatName val="0"/>
          <c:showSerName val="0"/>
          <c:showPercent val="0"/>
          <c:showBubbleSize val="0"/>
        </c:dLbls>
        <c:gapWidth val="150"/>
        <c:axId val="172703744"/>
        <c:axId val="172705280"/>
      </c:barChart>
      <c:catAx>
        <c:axId val="172703744"/>
        <c:scaling>
          <c:orientation val="minMax"/>
        </c:scaling>
        <c:delete val="0"/>
        <c:axPos val="b"/>
        <c:numFmt formatCode="General" sourceLinked="1"/>
        <c:majorTickMark val="out"/>
        <c:minorTickMark val="none"/>
        <c:tickLblPos val="nextTo"/>
        <c:spPr>
          <a:ln w="3171">
            <a:solidFill>
              <a:srgbClr val="000000"/>
            </a:solidFill>
          </a:ln>
        </c:spPr>
        <c:txPr>
          <a:bodyPr rot="0" vert="horz"/>
          <a:lstStyle/>
          <a:p>
            <a:pPr>
              <a:defRPr sz="799" b="0" i="0" u="none" strike="noStrike" baseline="0">
                <a:solidFill>
                  <a:srgbClr val="000000"/>
                </a:solidFill>
                <a:latin typeface="Arial Unicode MS"/>
                <a:ea typeface="Arial Unicode MS"/>
                <a:cs typeface="Arial Unicode MS"/>
              </a:defRPr>
            </a:pPr>
            <a:endParaRPr lang="fr-FR"/>
          </a:p>
        </c:txPr>
        <c:crossAx val="172705280"/>
        <c:crosses val="autoZero"/>
        <c:auto val="1"/>
        <c:lblAlgn val="ctr"/>
        <c:lblOffset val="100"/>
        <c:tickLblSkip val="1"/>
        <c:tickMarkSkip val="1"/>
        <c:noMultiLvlLbl val="0"/>
      </c:catAx>
      <c:valAx>
        <c:axId val="172705280"/>
        <c:scaling>
          <c:orientation val="minMax"/>
        </c:scaling>
        <c:delete val="0"/>
        <c:axPos val="l"/>
        <c:majorGridlines>
          <c:spPr>
            <a:ln w="3171">
              <a:solidFill>
                <a:srgbClr val="FFFFFF"/>
              </a:solidFill>
              <a:prstDash val="sysDash"/>
            </a:ln>
          </c:spPr>
        </c:majorGridlines>
        <c:numFmt formatCode="General" sourceLinked="1"/>
        <c:majorTickMark val="out"/>
        <c:minorTickMark val="none"/>
        <c:tickLblPos val="nextTo"/>
        <c:spPr>
          <a:ln w="3171">
            <a:solidFill>
              <a:srgbClr val="000000"/>
            </a:solidFill>
          </a:ln>
        </c:spPr>
        <c:txPr>
          <a:bodyPr rot="0" vert="horz"/>
          <a:lstStyle/>
          <a:p>
            <a:pPr>
              <a:defRPr sz="799" b="0" i="0" u="none" strike="noStrike" baseline="0">
                <a:solidFill>
                  <a:srgbClr val="000000"/>
                </a:solidFill>
                <a:latin typeface="Arial Unicode MS"/>
                <a:ea typeface="Arial Unicode MS"/>
                <a:cs typeface="Arial Unicode MS"/>
              </a:defRPr>
            </a:pPr>
            <a:endParaRPr lang="fr-FR"/>
          </a:p>
        </c:txPr>
        <c:crossAx val="172703744"/>
        <c:crosses val="autoZero"/>
        <c:crossBetween val="between"/>
        <c:majorUnit val="100"/>
        <c:minorUnit val="50"/>
      </c:valAx>
      <c:spPr>
        <a:solidFill>
          <a:srgbClr val="FFFFFF"/>
        </a:solidFill>
        <a:ln w="12682">
          <a:solidFill>
            <a:srgbClr val="FFFFFF"/>
          </a:solidFill>
        </a:ln>
      </c:spPr>
    </c:plotArea>
    <c:legend>
      <c:legendPos val="r"/>
      <c:layout>
        <c:manualLayout>
          <c:xMode val="edge"/>
          <c:yMode val="edge"/>
          <c:x val="0.66801941783045049"/>
          <c:y val="8.4645669291338585E-2"/>
          <c:w val="0.27213253236522555"/>
          <c:h val="0.18645143559334432"/>
        </c:manualLayout>
      </c:layout>
      <c:overlay val="0"/>
      <c:spPr>
        <a:noFill/>
        <a:ln w="3171">
          <a:solidFill>
            <a:srgbClr val="000000"/>
          </a:solidFill>
        </a:ln>
      </c:spPr>
      <c:txPr>
        <a:bodyPr/>
        <a:lstStyle/>
        <a:p>
          <a:pPr>
            <a:defRPr sz="734" b="0" i="0" u="none" strike="noStrike" baseline="0">
              <a:solidFill>
                <a:srgbClr val="000000"/>
              </a:solidFill>
              <a:latin typeface="Arial Unicode MS"/>
              <a:ea typeface="Arial Unicode MS"/>
              <a:cs typeface="Arial Unicode MS"/>
            </a:defRPr>
          </a:pPr>
          <a:endParaRPr lang="fr-FR"/>
        </a:p>
      </c:txPr>
    </c:legend>
    <c:plotVisOnly val="1"/>
    <c:dispBlanksAs val="gap"/>
    <c:showDLblsOverMax val="0"/>
  </c:chart>
  <c:spPr>
    <a:noFill/>
    <a:ln>
      <a:noFill/>
    </a:ln>
  </c:spPr>
  <c:txPr>
    <a:bodyPr/>
    <a:lstStyle/>
    <a:p>
      <a:pPr>
        <a:defRPr sz="1698" b="1" i="0" u="none" strike="noStrike" baseline="0">
          <a:solidFill>
            <a:srgbClr val="000000"/>
          </a:solidFill>
          <a:latin typeface="Arial"/>
          <a:ea typeface="Arial"/>
          <a:cs typeface="Arial"/>
        </a:defRPr>
      </a:pPr>
      <a:endParaRPr lang="fr-F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9655678927675383"/>
          <c:y val="0.2384102534628427"/>
          <c:w val="0.30886850152905199"/>
          <c:h val="0.5298013245033113"/>
        </c:manualLayout>
      </c:layout>
      <c:pie3DChart>
        <c:varyColors val="1"/>
        <c:ser>
          <c:idx val="0"/>
          <c:order val="0"/>
          <c:tx>
            <c:strRef>
              <c:f>Sheet1!$A$2</c:f>
              <c:strCache>
                <c:ptCount val="1"/>
                <c:pt idx="0">
                  <c:v>Dossiers à l'introduction</c:v>
                </c:pt>
              </c:strCache>
            </c:strRef>
          </c:tx>
          <c:spPr>
            <a:solidFill>
              <a:srgbClr val="9999FF"/>
            </a:solidFill>
            <a:ln w="12699">
              <a:solidFill>
                <a:srgbClr val="000000"/>
              </a:solidFill>
            </a:ln>
          </c:spPr>
          <c:explosion val="23"/>
          <c:dPt>
            <c:idx val="0"/>
            <c:bubble3D val="0"/>
          </c:dPt>
          <c:dPt>
            <c:idx val="1"/>
            <c:bubble3D val="0"/>
            <c:spPr>
              <a:solidFill>
                <a:srgbClr val="993366"/>
              </a:solidFill>
              <a:ln w="12699">
                <a:solidFill>
                  <a:srgbClr val="000000"/>
                </a:solidFill>
              </a:ln>
            </c:spPr>
          </c:dPt>
          <c:dPt>
            <c:idx val="2"/>
            <c:bubble3D val="0"/>
            <c:spPr>
              <a:solidFill>
                <a:srgbClr val="FFFFCC"/>
              </a:solidFill>
              <a:ln w="12699">
                <a:solidFill>
                  <a:srgbClr val="000000"/>
                </a:solidFill>
              </a:ln>
            </c:spPr>
          </c:dPt>
          <c:dLbls>
            <c:dLbl>
              <c:idx val="0"/>
              <c:layout>
                <c:manualLayout>
                  <c:x val="4.8484848484848485E-2"/>
                  <c:y val="0"/>
                </c:manualLayout>
              </c:layout>
              <c:dLblPos val="bestFit"/>
              <c:showLegendKey val="0"/>
              <c:showVal val="0"/>
              <c:showCatName val="1"/>
              <c:showSerName val="0"/>
              <c:showPercent val="1"/>
              <c:showBubbleSize val="0"/>
            </c:dLbl>
            <c:dLbl>
              <c:idx val="1"/>
              <c:layout>
                <c:manualLayout>
                  <c:x val="-1.5426997245179064E-2"/>
                  <c:y val="-2.0928220944690398E-17"/>
                </c:manualLayout>
              </c:layout>
              <c:tx>
                <c:rich>
                  <a:bodyPr/>
                  <a:lstStyle/>
                  <a:p>
                    <a:r>
                      <a:rPr lang="en-US"/>
                      <a:t>Klein
24%</a:t>
                    </a:r>
                  </a:p>
                </c:rich>
              </c:tx>
              <c:dLblPos val="bestFit"/>
              <c:showLegendKey val="0"/>
              <c:showVal val="0"/>
              <c:showCatName val="1"/>
              <c:showSerName val="0"/>
              <c:showPercent val="1"/>
              <c:showBubbleSize val="0"/>
            </c:dLbl>
            <c:dLbl>
              <c:idx val="2"/>
              <c:tx>
                <c:rich>
                  <a:bodyPr/>
                  <a:lstStyle/>
                  <a:p>
                    <a:r>
                      <a:rPr lang="en-US"/>
                      <a:t>Middelgroot
5%</a:t>
                    </a:r>
                  </a:p>
                </c:rich>
              </c:tx>
              <c:dLblPos val="outEnd"/>
              <c:showLegendKey val="0"/>
              <c:showVal val="0"/>
              <c:showCatName val="1"/>
              <c:showSerName val="0"/>
              <c:showPercent val="1"/>
              <c:showBubbleSize val="0"/>
            </c:dLbl>
            <c:numFmt formatCode="0%" sourceLinked="0"/>
            <c:spPr>
              <a:noFill/>
              <a:ln w="25399">
                <a:noFill/>
              </a:ln>
            </c:spPr>
            <c:txPr>
              <a:bodyPr/>
              <a:lstStyle/>
              <a:p>
                <a:pPr>
                  <a:defRPr sz="850" b="0" i="0" u="none" strike="noStrike" baseline="0">
                    <a:solidFill>
                      <a:srgbClr val="000000"/>
                    </a:solidFill>
                    <a:latin typeface="Arial Unicode MS"/>
                    <a:ea typeface="Arial Unicode MS"/>
                    <a:cs typeface="Arial Unicode MS"/>
                  </a:defRPr>
                </a:pPr>
                <a:endParaRPr lang="fr-FR"/>
              </a:p>
            </c:txPr>
            <c:dLblPos val="outEnd"/>
            <c:showLegendKey val="0"/>
            <c:showVal val="0"/>
            <c:showCatName val="1"/>
            <c:showSerName val="0"/>
            <c:showPercent val="1"/>
            <c:showBubbleSize val="0"/>
            <c:showLeaderLines val="1"/>
          </c:dLbls>
          <c:cat>
            <c:strRef>
              <c:f>Sheet1!$B$1:$D$1</c:f>
              <c:strCache>
                <c:ptCount val="3"/>
                <c:pt idx="0">
                  <c:v>micro</c:v>
                </c:pt>
                <c:pt idx="1">
                  <c:v>petite</c:v>
                </c:pt>
                <c:pt idx="2">
                  <c:v>moyenne</c:v>
                </c:pt>
              </c:strCache>
            </c:strRef>
          </c:cat>
          <c:val>
            <c:numRef>
              <c:f>Sheet1!$B$2:$D$2</c:f>
              <c:numCache>
                <c:formatCode>General</c:formatCode>
                <c:ptCount val="3"/>
                <c:pt idx="0">
                  <c:v>284</c:v>
                </c:pt>
                <c:pt idx="1">
                  <c:v>98</c:v>
                </c:pt>
                <c:pt idx="2">
                  <c:v>19</c:v>
                </c:pt>
              </c:numCache>
            </c:numRef>
          </c:val>
        </c:ser>
        <c:dLbls>
          <c:showLegendKey val="0"/>
          <c:showVal val="0"/>
          <c:showCatName val="0"/>
          <c:showSerName val="0"/>
          <c:showPercent val="0"/>
          <c:showBubbleSize val="0"/>
          <c:showLeaderLines val="1"/>
        </c:dLbls>
      </c:pie3DChart>
      <c:spPr>
        <a:solidFill>
          <a:srgbClr val="FFFFFF"/>
        </a:solidFill>
        <a:ln w="12699">
          <a:solidFill>
            <a:srgbClr val="FFFFFF"/>
          </a:solidFill>
        </a:ln>
      </c:spPr>
    </c:plotArea>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fr-F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142857142857144"/>
          <c:y val="0.17058823529411765"/>
          <c:w val="0.44873949579831934"/>
          <c:h val="0.66470588235294115"/>
        </c:manualLayout>
      </c:layout>
      <c:barChart>
        <c:barDir val="bar"/>
        <c:grouping val="clustered"/>
        <c:varyColors val="0"/>
        <c:ser>
          <c:idx val="1"/>
          <c:order val="0"/>
          <c:spPr>
            <a:solidFill>
              <a:srgbClr val="9999FF"/>
            </a:solidFill>
          </c:spPr>
          <c:invertIfNegative val="0"/>
          <c:cat>
            <c:strRef>
              <c:f>Sheet1!$A$1:$I$1</c:f>
              <c:strCache>
                <c:ptCount val="9"/>
                <c:pt idx="0">
                  <c:v>HORECA</c:v>
                </c:pt>
                <c:pt idx="1">
                  <c:v>Handel</c:v>
                </c:pt>
                <c:pt idx="2">
                  <c:v>Industrie</c:v>
                </c:pt>
                <c:pt idx="3">
                  <c:v>Gespecialiseerde activiteiten</c:v>
                </c:pt>
                <c:pt idx="4">
                  <c:v>Informatie en communicatie</c:v>
                </c:pt>
                <c:pt idx="5">
                  <c:v>Recreatieve activiteiten</c:v>
                </c:pt>
                <c:pt idx="6">
                  <c:v>Anderen administratieve diensten</c:v>
                </c:pt>
                <c:pt idx="7">
                  <c:v>Administratieve diensten</c:v>
                </c:pt>
                <c:pt idx="8">
                  <c:v>Autres</c:v>
                </c:pt>
              </c:strCache>
            </c:strRef>
          </c:cat>
          <c:val>
            <c:numRef>
              <c:f>Sheet1!$A$3:$I$3</c:f>
              <c:numCache>
                <c:formatCode>0.00%</c:formatCode>
                <c:ptCount val="9"/>
                <c:pt idx="0">
                  <c:v>0.32369049153779639</c:v>
                </c:pt>
                <c:pt idx="1">
                  <c:v>0.27955399381843926</c:v>
                </c:pt>
                <c:pt idx="2">
                  <c:v>0.12692255979480455</c:v>
                </c:pt>
                <c:pt idx="3">
                  <c:v>3.9916621290736309E-2</c:v>
                </c:pt>
                <c:pt idx="4">
                  <c:v>2.5957078484259877E-2</c:v>
                </c:pt>
                <c:pt idx="5">
                  <c:v>2.3390931976772777E-2</c:v>
                </c:pt>
                <c:pt idx="6">
                  <c:v>1.9744403671036324E-2</c:v>
                </c:pt>
                <c:pt idx="7">
                  <c:v>1.2719165883182637E-2</c:v>
                </c:pt>
                <c:pt idx="8">
                  <c:v>0.14810475354297195</c:v>
                </c:pt>
              </c:numCache>
            </c:numRef>
          </c:val>
        </c:ser>
        <c:dLbls>
          <c:dLblPos val="outEnd"/>
          <c:showLegendKey val="0"/>
          <c:showVal val="1"/>
          <c:showCatName val="0"/>
          <c:showSerName val="0"/>
          <c:showPercent val="0"/>
          <c:showBubbleSize val="0"/>
        </c:dLbls>
        <c:gapWidth val="150"/>
        <c:axId val="172791680"/>
        <c:axId val="172793216"/>
      </c:barChart>
      <c:catAx>
        <c:axId val="172791680"/>
        <c:scaling>
          <c:orientation val="minMax"/>
        </c:scaling>
        <c:delete val="0"/>
        <c:axPos val="l"/>
        <c:numFmt formatCode="General" sourceLinked="1"/>
        <c:majorTickMark val="out"/>
        <c:minorTickMark val="none"/>
        <c:tickLblPos val="nextTo"/>
        <c:spPr>
          <a:ln w="3175">
            <a:solidFill>
              <a:srgbClr val="000000"/>
            </a:solidFill>
          </a:ln>
        </c:spPr>
        <c:txPr>
          <a:bodyPr rot="0" vert="horz"/>
          <a:lstStyle/>
          <a:p>
            <a:pPr>
              <a:defRPr sz="800" b="1" i="0" u="none" strike="noStrike" baseline="0">
                <a:solidFill>
                  <a:srgbClr val="000000"/>
                </a:solidFill>
                <a:latin typeface="Calibri"/>
                <a:ea typeface="Calibri"/>
                <a:cs typeface="Calibri"/>
              </a:defRPr>
            </a:pPr>
            <a:endParaRPr lang="fr-FR"/>
          </a:p>
        </c:txPr>
        <c:crossAx val="172793216"/>
        <c:crosses val="autoZero"/>
        <c:auto val="1"/>
        <c:lblAlgn val="ctr"/>
        <c:lblOffset val="100"/>
        <c:noMultiLvlLbl val="0"/>
      </c:catAx>
      <c:valAx>
        <c:axId val="172793216"/>
        <c:scaling>
          <c:orientation val="minMax"/>
        </c:scaling>
        <c:delete val="1"/>
        <c:axPos val="b"/>
        <c:numFmt formatCode="0.00%" sourceLinked="1"/>
        <c:majorTickMark val="out"/>
        <c:minorTickMark val="none"/>
        <c:tickLblPos val="nextTo"/>
        <c:crossAx val="172791680"/>
        <c:crosses val="autoZero"/>
        <c:crossBetween val="between"/>
      </c:valAx>
      <c:spPr>
        <a:noFill/>
        <a:ln w="25400">
          <a:noFill/>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fr-F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6920227668170695"/>
          <c:y val="0.33372717299226484"/>
          <c:w val="0.38082901554404147"/>
          <c:h val="0.32402234636871508"/>
        </c:manualLayout>
      </c:layout>
      <c:pie3DChart>
        <c:varyColors val="1"/>
        <c:ser>
          <c:idx val="0"/>
          <c:order val="0"/>
          <c:tx>
            <c:strRef>
              <c:f>Sheet1!$A$2</c:f>
              <c:strCache>
                <c:ptCount val="1"/>
                <c:pt idx="0">
                  <c:v>Dossiers à l'introduction</c:v>
                </c:pt>
              </c:strCache>
            </c:strRef>
          </c:tx>
          <c:spPr>
            <a:solidFill>
              <a:srgbClr val="9999FF"/>
            </a:solidFill>
            <a:ln w="12676">
              <a:solidFill>
                <a:srgbClr val="000000"/>
              </a:solidFill>
            </a:ln>
          </c:spPr>
          <c:explosion val="24"/>
          <c:dPt>
            <c:idx val="0"/>
            <c:bubble3D val="0"/>
          </c:dPt>
          <c:dPt>
            <c:idx val="1"/>
            <c:bubble3D val="0"/>
            <c:spPr>
              <a:solidFill>
                <a:srgbClr val="993366"/>
              </a:solidFill>
              <a:ln w="12676">
                <a:solidFill>
                  <a:srgbClr val="000000"/>
                </a:solidFill>
              </a:ln>
            </c:spPr>
          </c:dPt>
          <c:dLbls>
            <c:dLbl>
              <c:idx val="0"/>
              <c:layout>
                <c:manualLayout>
                  <c:x val="5.3809724690999969E-2"/>
                  <c:y val="-6.3771945397163896E-2"/>
                </c:manualLayout>
              </c:layout>
              <c:tx>
                <c:rich>
                  <a:bodyPr/>
                  <a:lstStyle/>
                  <a:p>
                    <a:r>
                      <a:rPr lang="en-US"/>
                      <a:t>Toekenningen 55%</a:t>
                    </a:r>
                  </a:p>
                </c:rich>
              </c:tx>
              <c:showLegendKey val="0"/>
              <c:showVal val="0"/>
              <c:showCatName val="1"/>
              <c:showSerName val="0"/>
              <c:showPercent val="1"/>
              <c:showBubbleSize val="0"/>
              <c:separator> </c:separator>
            </c:dLbl>
            <c:dLbl>
              <c:idx val="1"/>
              <c:layout>
                <c:manualLayout>
                  <c:x val="-9.435770218650304E-3"/>
                  <c:y val="-0.11121802345479972"/>
                </c:manualLayout>
              </c:layout>
              <c:tx>
                <c:rich>
                  <a:bodyPr/>
                  <a:lstStyle/>
                  <a:p>
                    <a:r>
                      <a:rPr lang="en-US"/>
                      <a:t>Weigeringen 45%</a:t>
                    </a:r>
                  </a:p>
                </c:rich>
              </c:tx>
              <c:showLegendKey val="0"/>
              <c:showVal val="0"/>
              <c:showCatName val="1"/>
              <c:showSerName val="0"/>
              <c:showPercent val="1"/>
              <c:showBubbleSize val="0"/>
              <c:separator> </c:separator>
            </c:dLbl>
            <c:showLegendKey val="0"/>
            <c:showVal val="1"/>
            <c:showCatName val="0"/>
            <c:showSerName val="0"/>
            <c:showPercent val="0"/>
            <c:showBubbleSize val="0"/>
            <c:showLeaderLines val="1"/>
          </c:dLbls>
          <c:cat>
            <c:strRef>
              <c:f>Sheet1!$B$1:$C$1</c:f>
              <c:strCache>
                <c:ptCount val="2"/>
                <c:pt idx="0">
                  <c:v>Octrois</c:v>
                </c:pt>
                <c:pt idx="1">
                  <c:v>Refus</c:v>
                </c:pt>
              </c:strCache>
            </c:strRef>
          </c:cat>
          <c:val>
            <c:numRef>
              <c:f>Sheet1!$B$2:$C$2</c:f>
              <c:numCache>
                <c:formatCode>General</c:formatCode>
                <c:ptCount val="2"/>
                <c:pt idx="0">
                  <c:v>301</c:v>
                </c:pt>
                <c:pt idx="1">
                  <c:v>245</c:v>
                </c:pt>
              </c:numCache>
            </c:numRef>
          </c:val>
        </c:ser>
        <c:dLbls>
          <c:showLegendKey val="0"/>
          <c:showVal val="0"/>
          <c:showCatName val="0"/>
          <c:showSerName val="0"/>
          <c:showPercent val="0"/>
          <c:showBubbleSize val="0"/>
          <c:showLeaderLines val="1"/>
        </c:dLbls>
      </c:pie3DChart>
      <c:spPr>
        <a:solidFill>
          <a:srgbClr val="FFFFFF"/>
        </a:solidFill>
        <a:ln w="12676">
          <a:solidFill>
            <a:srgbClr val="FFFFFF"/>
          </a:solidFill>
        </a:ln>
      </c:spPr>
    </c:plotArea>
    <c:plotVisOnly val="1"/>
    <c:dispBlanksAs val="gap"/>
    <c:showDLblsOverMax val="0"/>
  </c:chart>
  <c:spPr>
    <a:noFill/>
    <a:ln>
      <a:noFill/>
    </a:ln>
  </c:spPr>
  <c:txPr>
    <a:bodyPr/>
    <a:lstStyle/>
    <a:p>
      <a:pPr>
        <a:defRPr sz="798" b="1" i="0" u="none" strike="noStrike" baseline="0">
          <a:solidFill>
            <a:srgbClr val="000000"/>
          </a:solidFill>
          <a:latin typeface="Arial"/>
          <a:ea typeface="Arial"/>
          <a:cs typeface="Arial"/>
        </a:defRPr>
      </a:pPr>
      <a:endParaRPr lang="fr-F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9.7315436241610737E-2"/>
          <c:y val="0.26500000000000001"/>
          <c:w val="0.40436241610738255"/>
          <c:h val="0.47499999999999998"/>
        </c:manualLayout>
      </c:layout>
      <c:pie3DChart>
        <c:varyColors val="1"/>
        <c:ser>
          <c:idx val="0"/>
          <c:order val="0"/>
          <c:tx>
            <c:strRef>
              <c:f>Sheet1!$A$2</c:f>
              <c:strCache>
                <c:ptCount val="1"/>
                <c:pt idx="0">
                  <c:v>Dossiers à l'introduction</c:v>
                </c:pt>
              </c:strCache>
            </c:strRef>
          </c:tx>
          <c:spPr>
            <a:solidFill>
              <a:srgbClr val="9999FF"/>
            </a:solidFill>
            <a:ln w="12701">
              <a:solidFill>
                <a:srgbClr val="000000"/>
              </a:solidFill>
            </a:ln>
          </c:spPr>
          <c:explosion val="23"/>
          <c:dPt>
            <c:idx val="0"/>
            <c:bubble3D val="0"/>
          </c:dPt>
          <c:dPt>
            <c:idx val="1"/>
            <c:bubble3D val="0"/>
            <c:spPr>
              <a:solidFill>
                <a:srgbClr val="993366"/>
              </a:solidFill>
              <a:ln w="12701">
                <a:solidFill>
                  <a:srgbClr val="000000"/>
                </a:solidFill>
              </a:ln>
            </c:spPr>
          </c:dPt>
          <c:dPt>
            <c:idx val="2"/>
            <c:bubble3D val="0"/>
            <c:spPr>
              <a:solidFill>
                <a:srgbClr val="FFFFCC"/>
              </a:solidFill>
              <a:ln w="12701">
                <a:solidFill>
                  <a:srgbClr val="000000"/>
                </a:solidFill>
              </a:ln>
            </c:spPr>
          </c:dPt>
          <c:dPt>
            <c:idx val="3"/>
            <c:bubble3D val="0"/>
            <c:spPr>
              <a:solidFill>
                <a:srgbClr val="CCFFFF"/>
              </a:solidFill>
              <a:ln w="12701">
                <a:solidFill>
                  <a:srgbClr val="000000"/>
                </a:solidFill>
              </a:ln>
            </c:spPr>
          </c:dPt>
          <c:dLbls>
            <c:dLbl>
              <c:idx val="0"/>
              <c:layout>
                <c:manualLayout>
                  <c:x val="2.4241494567094107E-2"/>
                  <c:y val="3.8324408574407443E-2"/>
                </c:manualLayout>
              </c:layout>
              <c:dLblPos val="bestFit"/>
              <c:showLegendKey val="0"/>
              <c:showVal val="0"/>
              <c:showCatName val="1"/>
              <c:showSerName val="0"/>
              <c:showPercent val="1"/>
              <c:showBubbleSize val="0"/>
            </c:dLbl>
            <c:dLbl>
              <c:idx val="1"/>
              <c:tx>
                <c:rich>
                  <a:bodyPr/>
                  <a:lstStyle/>
                  <a:p>
                    <a:r>
                      <a:rPr lang="fr-BE"/>
                      <a:t>Klein
23%</a:t>
                    </a:r>
                  </a:p>
                </c:rich>
              </c:tx>
              <c:dLblPos val="outEnd"/>
              <c:showLegendKey val="0"/>
              <c:showVal val="0"/>
              <c:showCatName val="1"/>
              <c:showSerName val="0"/>
              <c:showPercent val="1"/>
              <c:showBubbleSize val="0"/>
            </c:dLbl>
            <c:dLbl>
              <c:idx val="2"/>
              <c:tx>
                <c:rich>
                  <a:bodyPr/>
                  <a:lstStyle/>
                  <a:p>
                    <a:r>
                      <a:rPr lang="en-US"/>
                      <a:t>Middelgroot
7%</a:t>
                    </a:r>
                  </a:p>
                </c:rich>
              </c:tx>
              <c:dLblPos val="outEnd"/>
              <c:showLegendKey val="0"/>
              <c:showVal val="0"/>
              <c:showCatName val="1"/>
              <c:showSerName val="0"/>
              <c:showPercent val="1"/>
              <c:showBubbleSize val="0"/>
            </c:dLbl>
            <c:dLbl>
              <c:idx val="3"/>
              <c:tx>
                <c:rich>
                  <a:bodyPr/>
                  <a:lstStyle/>
                  <a:p>
                    <a:r>
                      <a:rPr lang="en-US"/>
                      <a:t>Groot
5%</a:t>
                    </a:r>
                  </a:p>
                </c:rich>
              </c:tx>
              <c:dLblPos val="outEnd"/>
              <c:showLegendKey val="0"/>
              <c:showVal val="0"/>
              <c:showCatName val="1"/>
              <c:showSerName val="0"/>
              <c:showPercent val="1"/>
              <c:showBubbleSize val="0"/>
            </c:dLbl>
            <c:numFmt formatCode="0%" sourceLinked="0"/>
            <c:spPr>
              <a:noFill/>
              <a:ln w="25401">
                <a:noFill/>
              </a:ln>
            </c:spPr>
            <c:txPr>
              <a:bodyPr/>
              <a:lstStyle/>
              <a:p>
                <a:pPr>
                  <a:defRPr sz="800" b="0" i="0" u="none" strike="noStrike" baseline="0">
                    <a:solidFill>
                      <a:srgbClr val="000000"/>
                    </a:solidFill>
                    <a:latin typeface="Arial Unicode MS"/>
                    <a:ea typeface="Arial Unicode MS"/>
                    <a:cs typeface="Arial Unicode MS"/>
                  </a:defRPr>
                </a:pPr>
                <a:endParaRPr lang="fr-FR"/>
              </a:p>
            </c:txPr>
            <c:dLblPos val="outEnd"/>
            <c:showLegendKey val="0"/>
            <c:showVal val="0"/>
            <c:showCatName val="1"/>
            <c:showSerName val="0"/>
            <c:showPercent val="1"/>
            <c:showBubbleSize val="0"/>
            <c:showLeaderLines val="1"/>
          </c:dLbls>
          <c:cat>
            <c:strRef>
              <c:f>Sheet1!$B$1:$E$1</c:f>
              <c:strCache>
                <c:ptCount val="4"/>
                <c:pt idx="0">
                  <c:v>micro</c:v>
                </c:pt>
                <c:pt idx="1">
                  <c:v>petite</c:v>
                </c:pt>
                <c:pt idx="2">
                  <c:v>moyenne</c:v>
                </c:pt>
                <c:pt idx="3">
                  <c:v>grande</c:v>
                </c:pt>
              </c:strCache>
            </c:strRef>
          </c:cat>
          <c:val>
            <c:numRef>
              <c:f>Sheet1!$B$2:$E$2</c:f>
              <c:numCache>
                <c:formatCode>General</c:formatCode>
                <c:ptCount val="4"/>
                <c:pt idx="0">
                  <c:v>197</c:v>
                </c:pt>
                <c:pt idx="1">
                  <c:v>68</c:v>
                </c:pt>
                <c:pt idx="2">
                  <c:v>21</c:v>
                </c:pt>
                <c:pt idx="3">
                  <c:v>15</c:v>
                </c:pt>
              </c:numCache>
            </c:numRef>
          </c:val>
        </c:ser>
        <c:dLbls>
          <c:showLegendKey val="0"/>
          <c:showVal val="0"/>
          <c:showCatName val="0"/>
          <c:showSerName val="0"/>
          <c:showPercent val="0"/>
          <c:showBubbleSize val="0"/>
          <c:showLeaderLines val="1"/>
        </c:dLbls>
      </c:pie3DChart>
      <c:spPr>
        <a:solidFill>
          <a:srgbClr val="FFFFFF"/>
        </a:solidFill>
        <a:ln w="12701">
          <a:solidFill>
            <a:srgbClr val="FFFFFF"/>
          </a:solidFill>
        </a:ln>
      </c:spPr>
    </c:plotArea>
    <c:plotVisOnly val="1"/>
    <c:dispBlanksAs val="gap"/>
    <c:showDLblsOverMax val="0"/>
  </c:chart>
  <c:spPr>
    <a:noFill/>
    <a:ln>
      <a:noFill/>
    </a:ln>
  </c:spPr>
  <c:txPr>
    <a:bodyPr/>
    <a:lstStyle/>
    <a:p>
      <a:pPr>
        <a:defRPr sz="875" b="1" i="0" u="none" strike="noStrike" baseline="0">
          <a:solidFill>
            <a:srgbClr val="000000"/>
          </a:solidFill>
          <a:latin typeface="Arial"/>
          <a:ea typeface="Arial"/>
          <a:cs typeface="Arial"/>
        </a:defRPr>
      </a:pPr>
      <a:endParaRPr lang="fr-F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023255813953489"/>
          <c:y val="0.17886178861788618"/>
          <c:w val="0.30852713178294572"/>
          <c:h val="0.65040650406504064"/>
        </c:manualLayout>
      </c:layout>
      <c:barChart>
        <c:barDir val="bar"/>
        <c:grouping val="clustered"/>
        <c:varyColors val="0"/>
        <c:ser>
          <c:idx val="0"/>
          <c:order val="0"/>
          <c:invertIfNegative val="0"/>
          <c:dLbls>
            <c:txPr>
              <a:bodyPr/>
              <a:lstStyle/>
              <a:p>
                <a:pPr>
                  <a:defRPr sz="800" baseline="0"/>
                </a:pPr>
                <a:endParaRPr lang="fr-FR"/>
              </a:p>
            </c:txPr>
            <c:showLegendKey val="0"/>
            <c:showVal val="1"/>
            <c:showCatName val="0"/>
            <c:showSerName val="0"/>
            <c:showPercent val="0"/>
            <c:showBubbleSize val="0"/>
            <c:showLeaderLines val="0"/>
          </c:dLbls>
          <c:cat>
            <c:strRef>
              <c:f>Sheet1!$A$1:$E$1</c:f>
              <c:strCache>
                <c:ptCount val="5"/>
                <c:pt idx="0">
                  <c:v>Handel</c:v>
                </c:pt>
                <c:pt idx="1">
                  <c:v>HORECA</c:v>
                </c:pt>
                <c:pt idx="2">
                  <c:v>Industrie</c:v>
                </c:pt>
                <c:pt idx="3">
                  <c:v>Andere dienstactiviteiten</c:v>
                </c:pt>
                <c:pt idx="4">
                  <c:v>Anderen</c:v>
                </c:pt>
              </c:strCache>
            </c:strRef>
          </c:cat>
          <c:val>
            <c:numRef>
              <c:f>Sheet1!$A$2:$E$2</c:f>
              <c:numCache>
                <c:formatCode>0.00%</c:formatCode>
                <c:ptCount val="5"/>
                <c:pt idx="0">
                  <c:v>0.49157621560766884</c:v>
                </c:pt>
                <c:pt idx="1">
                  <c:v>0.26679648824894325</c:v>
                </c:pt>
                <c:pt idx="2">
                  <c:v>0.12381137411403129</c:v>
                </c:pt>
                <c:pt idx="3">
                  <c:v>6.7956934803783411E-2</c:v>
                </c:pt>
                <c:pt idx="4">
                  <c:v>4.9858987225573179E-2</c:v>
                </c:pt>
              </c:numCache>
            </c:numRef>
          </c:val>
        </c:ser>
        <c:dLbls>
          <c:showLegendKey val="0"/>
          <c:showVal val="0"/>
          <c:showCatName val="0"/>
          <c:showSerName val="0"/>
          <c:showPercent val="0"/>
          <c:showBubbleSize val="0"/>
        </c:dLbls>
        <c:gapWidth val="150"/>
        <c:axId val="192725760"/>
        <c:axId val="192727296"/>
      </c:barChart>
      <c:catAx>
        <c:axId val="192725760"/>
        <c:scaling>
          <c:orientation val="minMax"/>
        </c:scaling>
        <c:delete val="0"/>
        <c:axPos val="l"/>
        <c:numFmt formatCode="General" sourceLinked="1"/>
        <c:majorTickMark val="out"/>
        <c:minorTickMark val="none"/>
        <c:tickLblPos val="nextTo"/>
        <c:spPr>
          <a:ln w="3175">
            <a:solidFill>
              <a:srgbClr val="000000"/>
            </a:solidFill>
          </a:ln>
        </c:spPr>
        <c:txPr>
          <a:bodyPr rot="0" vert="horz"/>
          <a:lstStyle/>
          <a:p>
            <a:pPr>
              <a:defRPr sz="800" b="0" i="0" u="none" strike="noStrike" baseline="0">
                <a:solidFill>
                  <a:srgbClr val="000000"/>
                </a:solidFill>
                <a:latin typeface="Calibri"/>
                <a:ea typeface="Calibri"/>
                <a:cs typeface="Calibri"/>
              </a:defRPr>
            </a:pPr>
            <a:endParaRPr lang="fr-FR"/>
          </a:p>
        </c:txPr>
        <c:crossAx val="192727296"/>
        <c:crosses val="autoZero"/>
        <c:auto val="1"/>
        <c:lblAlgn val="ctr"/>
        <c:lblOffset val="100"/>
        <c:tickLblSkip val="1"/>
        <c:tickMarkSkip val="1"/>
        <c:noMultiLvlLbl val="0"/>
      </c:catAx>
      <c:valAx>
        <c:axId val="192727296"/>
        <c:scaling>
          <c:orientation val="minMax"/>
        </c:scaling>
        <c:delete val="1"/>
        <c:axPos val="b"/>
        <c:numFmt formatCode="0.00%" sourceLinked="1"/>
        <c:majorTickMark val="out"/>
        <c:minorTickMark val="none"/>
        <c:tickLblPos val="nextTo"/>
        <c:crossAx val="192725760"/>
        <c:crosses val="autoZero"/>
        <c:crossBetween val="between"/>
      </c:valAx>
      <c:spPr>
        <a:noFill/>
        <a:ln w="25400">
          <a:noFill/>
        </a:ln>
      </c:spPr>
    </c:plotArea>
    <c:plotVisOnly val="1"/>
    <c:dispBlanksAs val="gap"/>
    <c:showDLblsOverMax val="0"/>
  </c:chart>
  <c:spPr>
    <a:noFill/>
    <a:ln>
      <a:noFill/>
    </a:ln>
  </c:spPr>
  <c:txPr>
    <a:bodyPr/>
    <a:lstStyle/>
    <a:p>
      <a:pPr>
        <a:defRPr sz="475" b="1" i="0" u="none" strike="noStrike" baseline="0">
          <a:solidFill>
            <a:srgbClr val="000000"/>
          </a:solidFill>
          <a:latin typeface="Calibri"/>
          <a:ea typeface="Calibri"/>
          <a:cs typeface="Calibri"/>
        </a:defRPr>
      </a:pPr>
      <a:endParaRPr lang="fr-F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7238511574013108"/>
          <c:y val="0.29025141594142839"/>
          <c:w val="0.40407470288624786"/>
          <c:h val="0.43577981651376146"/>
        </c:manualLayout>
      </c:layout>
      <c:pie3DChart>
        <c:varyColors val="1"/>
        <c:ser>
          <c:idx val="0"/>
          <c:order val="0"/>
          <c:tx>
            <c:strRef>
              <c:f>Sheet1!$A$2</c:f>
              <c:strCache>
                <c:ptCount val="1"/>
                <c:pt idx="0">
                  <c:v>Dossiers à l'introduction</c:v>
                </c:pt>
              </c:strCache>
            </c:strRef>
          </c:tx>
          <c:spPr>
            <a:solidFill>
              <a:srgbClr val="9999FF"/>
            </a:solidFill>
            <a:ln w="12679">
              <a:solidFill>
                <a:srgbClr val="000000"/>
              </a:solidFill>
            </a:ln>
          </c:spPr>
          <c:explosion val="23"/>
          <c:dPt>
            <c:idx val="0"/>
            <c:bubble3D val="0"/>
          </c:dPt>
          <c:dPt>
            <c:idx val="1"/>
            <c:bubble3D val="0"/>
            <c:spPr>
              <a:solidFill>
                <a:srgbClr val="993366"/>
              </a:solidFill>
              <a:ln w="12679">
                <a:solidFill>
                  <a:srgbClr val="000000"/>
                </a:solidFill>
              </a:ln>
            </c:spPr>
          </c:dPt>
          <c:dLbls>
            <c:dLbl>
              <c:idx val="0"/>
              <c:layout>
                <c:manualLayout>
                  <c:x val="2.7034746906775986E-2"/>
                  <c:y val="7.7287576727421606E-2"/>
                </c:manualLayout>
              </c:layout>
              <c:tx>
                <c:rich>
                  <a:bodyPr/>
                  <a:lstStyle/>
                  <a:p>
                    <a:r>
                      <a:rPr lang="en-US"/>
                      <a:t>Toekenningen
82%</a:t>
                    </a:r>
                  </a:p>
                </c:rich>
              </c:tx>
              <c:dLblPos val="bestFit"/>
              <c:showLegendKey val="0"/>
              <c:showVal val="0"/>
              <c:showCatName val="1"/>
              <c:showSerName val="0"/>
              <c:showPercent val="1"/>
              <c:showBubbleSize val="0"/>
            </c:dLbl>
            <c:dLbl>
              <c:idx val="1"/>
              <c:layout>
                <c:manualLayout>
                  <c:x val="-2.9492451171028351E-2"/>
                  <c:y val="-2.1078430016569526E-2"/>
                </c:manualLayout>
              </c:layout>
              <c:tx>
                <c:rich>
                  <a:bodyPr/>
                  <a:lstStyle/>
                  <a:p>
                    <a:r>
                      <a:rPr lang="en-US"/>
                      <a:t>Weigeringen
18%</a:t>
                    </a:r>
                  </a:p>
                </c:rich>
              </c:tx>
              <c:dLblPos val="bestFit"/>
              <c:showLegendKey val="0"/>
              <c:showVal val="0"/>
              <c:showCatName val="1"/>
              <c:showSerName val="0"/>
              <c:showPercent val="1"/>
              <c:showBubbleSize val="0"/>
            </c:dLbl>
            <c:dLblPos val="outEnd"/>
            <c:showLegendKey val="0"/>
            <c:showVal val="0"/>
            <c:showCatName val="1"/>
            <c:showSerName val="0"/>
            <c:showPercent val="1"/>
            <c:showBubbleSize val="0"/>
            <c:showLeaderLines val="1"/>
          </c:dLbls>
          <c:cat>
            <c:strRef>
              <c:f>Sheet1!$B$1:$C$1</c:f>
              <c:strCache>
                <c:ptCount val="2"/>
                <c:pt idx="0">
                  <c:v>octrois</c:v>
                </c:pt>
                <c:pt idx="1">
                  <c:v>décidés défavorables</c:v>
                </c:pt>
              </c:strCache>
            </c:strRef>
          </c:cat>
          <c:val>
            <c:numRef>
              <c:f>Sheet1!$B$2:$C$2</c:f>
              <c:numCache>
                <c:formatCode>General</c:formatCode>
                <c:ptCount val="2"/>
                <c:pt idx="0">
                  <c:v>896</c:v>
                </c:pt>
                <c:pt idx="1">
                  <c:v>203</c:v>
                </c:pt>
              </c:numCache>
            </c:numRef>
          </c:val>
        </c:ser>
        <c:dLbls>
          <c:showLegendKey val="0"/>
          <c:showVal val="0"/>
          <c:showCatName val="0"/>
          <c:showSerName val="0"/>
          <c:showPercent val="0"/>
          <c:showBubbleSize val="0"/>
          <c:showLeaderLines val="1"/>
        </c:dLbls>
      </c:pie3DChart>
      <c:spPr>
        <a:solidFill>
          <a:srgbClr val="FFFFFF"/>
        </a:solidFill>
        <a:ln w="12679">
          <a:solidFill>
            <a:srgbClr val="FFFFFF"/>
          </a:solidFill>
        </a:ln>
      </c:spPr>
    </c:plotArea>
    <c:plotVisOnly val="1"/>
    <c:dispBlanksAs val="gap"/>
    <c:showDLblsOverMax val="0"/>
  </c:chart>
  <c:spPr>
    <a:noFill/>
    <a:ln>
      <a:noFill/>
    </a:ln>
  </c:spPr>
  <c:txPr>
    <a:bodyPr/>
    <a:lstStyle/>
    <a:p>
      <a:pPr>
        <a:defRPr sz="948" b="1" i="0" u="none" strike="noStrike" baseline="0">
          <a:solidFill>
            <a:srgbClr val="000000"/>
          </a:solidFill>
          <a:latin typeface="Arial"/>
          <a:ea typeface="Arial"/>
          <a:cs typeface="Arial"/>
        </a:defRPr>
      </a:pPr>
      <a:endParaRPr lang="fr-F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31560824945981586"/>
          <c:y val="0.23972609193081634"/>
          <c:w val="0.32500000000000001"/>
          <c:h val="0.53424657534246578"/>
        </c:manualLayout>
      </c:layout>
      <c:pie3DChart>
        <c:varyColors val="1"/>
        <c:ser>
          <c:idx val="0"/>
          <c:order val="0"/>
          <c:tx>
            <c:strRef>
              <c:f>Sheet1!$A$2</c:f>
              <c:strCache>
                <c:ptCount val="1"/>
                <c:pt idx="0">
                  <c:v>Dossiers à l'introduction</c:v>
                </c:pt>
              </c:strCache>
            </c:strRef>
          </c:tx>
          <c:spPr>
            <a:solidFill>
              <a:srgbClr val="9999FF"/>
            </a:solidFill>
            <a:ln w="12701">
              <a:solidFill>
                <a:srgbClr val="000000"/>
              </a:solidFill>
            </a:ln>
          </c:spPr>
          <c:explosion val="23"/>
          <c:dPt>
            <c:idx val="0"/>
            <c:bubble3D val="0"/>
          </c:dPt>
          <c:dPt>
            <c:idx val="1"/>
            <c:bubble3D val="0"/>
            <c:spPr>
              <a:solidFill>
                <a:srgbClr val="993366"/>
              </a:solidFill>
              <a:ln w="12701">
                <a:solidFill>
                  <a:srgbClr val="000000"/>
                </a:solidFill>
              </a:ln>
            </c:spPr>
          </c:dPt>
          <c:dPt>
            <c:idx val="2"/>
            <c:bubble3D val="0"/>
            <c:spPr>
              <a:solidFill>
                <a:srgbClr val="FFFFCC"/>
              </a:solidFill>
              <a:ln w="12701">
                <a:solidFill>
                  <a:srgbClr val="000000"/>
                </a:solidFill>
              </a:ln>
            </c:spPr>
          </c:dPt>
          <c:dLbls>
            <c:dLbl>
              <c:idx val="0"/>
              <c:layout>
                <c:manualLayout>
                  <c:x val="3.2733224222585844E-2"/>
                  <c:y val="7.8346673280123027E-17"/>
                </c:manualLayout>
              </c:layout>
              <c:dLblPos val="bestFit"/>
              <c:showLegendKey val="0"/>
              <c:showVal val="0"/>
              <c:showCatName val="1"/>
              <c:showSerName val="0"/>
              <c:showPercent val="1"/>
              <c:showBubbleSize val="0"/>
            </c:dLbl>
            <c:dLbl>
              <c:idx val="1"/>
              <c:layout>
                <c:manualLayout>
                  <c:x val="-2.6186579378068741E-2"/>
                  <c:y val="8.5470085470085479E-3"/>
                </c:manualLayout>
              </c:layout>
              <c:tx>
                <c:rich>
                  <a:bodyPr/>
                  <a:lstStyle/>
                  <a:p>
                    <a:r>
                      <a:rPr lang="en-US"/>
                      <a:t>Klein
16%</a:t>
                    </a:r>
                  </a:p>
                </c:rich>
              </c:tx>
              <c:dLblPos val="bestFit"/>
              <c:showLegendKey val="0"/>
              <c:showVal val="0"/>
              <c:showCatName val="1"/>
              <c:showSerName val="0"/>
              <c:showPercent val="1"/>
              <c:showBubbleSize val="0"/>
            </c:dLbl>
            <c:dLbl>
              <c:idx val="2"/>
              <c:tx>
                <c:rich>
                  <a:bodyPr/>
                  <a:lstStyle/>
                  <a:p>
                    <a:r>
                      <a:rPr lang="en-US"/>
                      <a:t>Middelgroot
7%</a:t>
                    </a:r>
                  </a:p>
                </c:rich>
              </c:tx>
              <c:dLblPos val="outEnd"/>
              <c:showLegendKey val="0"/>
              <c:showVal val="0"/>
              <c:showCatName val="1"/>
              <c:showSerName val="0"/>
              <c:showPercent val="1"/>
              <c:showBubbleSize val="0"/>
            </c:dLbl>
            <c:numFmt formatCode="0%" sourceLinked="0"/>
            <c:spPr>
              <a:noFill/>
              <a:ln w="25402">
                <a:noFill/>
              </a:ln>
            </c:spPr>
            <c:txPr>
              <a:bodyPr/>
              <a:lstStyle/>
              <a:p>
                <a:pPr>
                  <a:defRPr sz="800" b="0" i="0" u="none" strike="noStrike" baseline="0">
                    <a:solidFill>
                      <a:srgbClr val="000000"/>
                    </a:solidFill>
                    <a:latin typeface="Arial Unicode MS"/>
                    <a:ea typeface="Arial Unicode MS"/>
                    <a:cs typeface="Arial Unicode MS"/>
                  </a:defRPr>
                </a:pPr>
                <a:endParaRPr lang="fr-FR"/>
              </a:p>
            </c:txPr>
            <c:dLblPos val="outEnd"/>
            <c:showLegendKey val="0"/>
            <c:showVal val="0"/>
            <c:showCatName val="1"/>
            <c:showSerName val="0"/>
            <c:showPercent val="1"/>
            <c:showBubbleSize val="0"/>
            <c:showLeaderLines val="1"/>
          </c:dLbls>
          <c:cat>
            <c:strRef>
              <c:f>Sheet1!$B$1:$D$1</c:f>
              <c:strCache>
                <c:ptCount val="3"/>
                <c:pt idx="0">
                  <c:v>micro</c:v>
                </c:pt>
                <c:pt idx="1">
                  <c:v>petite</c:v>
                </c:pt>
                <c:pt idx="2">
                  <c:v>moyenne</c:v>
                </c:pt>
              </c:strCache>
            </c:strRef>
          </c:cat>
          <c:val>
            <c:numRef>
              <c:f>Sheet1!$B$2:$D$2</c:f>
              <c:numCache>
                <c:formatCode>General</c:formatCode>
                <c:ptCount val="3"/>
                <c:pt idx="0">
                  <c:v>688</c:v>
                </c:pt>
                <c:pt idx="1">
                  <c:v>141</c:v>
                </c:pt>
                <c:pt idx="2">
                  <c:v>64</c:v>
                </c:pt>
              </c:numCache>
            </c:numRef>
          </c:val>
        </c:ser>
        <c:dLbls>
          <c:showLegendKey val="0"/>
          <c:showVal val="0"/>
          <c:showCatName val="0"/>
          <c:showSerName val="0"/>
          <c:showPercent val="0"/>
          <c:showBubbleSize val="0"/>
          <c:showLeaderLines val="1"/>
        </c:dLbls>
      </c:pie3DChart>
      <c:spPr>
        <a:solidFill>
          <a:srgbClr val="FFFFFF"/>
        </a:solidFill>
        <a:ln w="12701">
          <a:solidFill>
            <a:srgbClr val="FFFFFF"/>
          </a:solidFill>
        </a:ln>
      </c:spPr>
    </c:plotArea>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fr-F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714759535655058"/>
          <c:y val="0.15946843853820597"/>
          <c:w val="0.42122719734660036"/>
          <c:h val="0.68770764119601324"/>
        </c:manualLayout>
      </c:layout>
      <c:barChart>
        <c:barDir val="bar"/>
        <c:grouping val="clustered"/>
        <c:varyColors val="0"/>
        <c:ser>
          <c:idx val="0"/>
          <c:order val="0"/>
          <c:spPr>
            <a:solidFill>
              <a:srgbClr val="9999FF"/>
            </a:solidFill>
            <a:ln w="12700">
              <a:solidFill>
                <a:srgbClr val="000000"/>
              </a:solidFill>
            </a:ln>
          </c:spPr>
          <c:invertIfNegative val="0"/>
          <c:dLbls>
            <c:txPr>
              <a:bodyPr/>
              <a:lstStyle/>
              <a:p>
                <a:pPr>
                  <a:defRPr sz="800" baseline="0"/>
                </a:pPr>
                <a:endParaRPr lang="fr-FR"/>
              </a:p>
            </c:txPr>
            <c:showLegendKey val="0"/>
            <c:showVal val="1"/>
            <c:showCatName val="0"/>
            <c:showSerName val="0"/>
            <c:showPercent val="0"/>
            <c:showBubbleSize val="0"/>
            <c:showLeaderLines val="0"/>
          </c:dLbls>
          <c:cat>
            <c:strRef>
              <c:f>Sheet1!$A$1:$E$1</c:f>
              <c:strCache>
                <c:ptCount val="5"/>
                <c:pt idx="0">
                  <c:v>Handel</c:v>
                </c:pt>
                <c:pt idx="1">
                  <c:v>Gespecialiseerde activiteiten</c:v>
                </c:pt>
                <c:pt idx="2">
                  <c:v>Informatie en communicatie</c:v>
                </c:pt>
                <c:pt idx="3">
                  <c:v>Industrie</c:v>
                </c:pt>
                <c:pt idx="4">
                  <c:v>Anderen</c:v>
                </c:pt>
              </c:strCache>
            </c:strRef>
          </c:cat>
          <c:val>
            <c:numRef>
              <c:f>Sheet1!$A$2:$E$2</c:f>
              <c:numCache>
                <c:formatCode>0.00%</c:formatCode>
                <c:ptCount val="5"/>
                <c:pt idx="0">
                  <c:v>0.36287887813420411</c:v>
                </c:pt>
                <c:pt idx="1">
                  <c:v>0.20134128808217969</c:v>
                </c:pt>
                <c:pt idx="2">
                  <c:v>0.18734984492634671</c:v>
                </c:pt>
                <c:pt idx="3">
                  <c:v>0.14066747214513095</c:v>
                </c:pt>
                <c:pt idx="4">
                  <c:v>0.10776251671213859</c:v>
                </c:pt>
              </c:numCache>
            </c:numRef>
          </c:val>
        </c:ser>
        <c:dLbls>
          <c:showLegendKey val="0"/>
          <c:showVal val="0"/>
          <c:showCatName val="0"/>
          <c:showSerName val="0"/>
          <c:showPercent val="0"/>
          <c:showBubbleSize val="0"/>
        </c:dLbls>
        <c:gapWidth val="150"/>
        <c:axId val="212667392"/>
        <c:axId val="212673280"/>
      </c:barChart>
      <c:catAx>
        <c:axId val="212667392"/>
        <c:scaling>
          <c:orientation val="minMax"/>
        </c:scaling>
        <c:delete val="0"/>
        <c:axPos val="l"/>
        <c:numFmt formatCode="General" sourceLinked="1"/>
        <c:majorTickMark val="out"/>
        <c:minorTickMark val="none"/>
        <c:tickLblPos val="nextTo"/>
        <c:spPr>
          <a:ln w="3175">
            <a:solidFill>
              <a:srgbClr val="000000"/>
            </a:solidFill>
          </a:ln>
        </c:spPr>
        <c:txPr>
          <a:bodyPr rot="0" vert="horz"/>
          <a:lstStyle/>
          <a:p>
            <a:pPr>
              <a:defRPr sz="800" b="0" i="0" u="none" strike="noStrike" baseline="0">
                <a:solidFill>
                  <a:srgbClr val="000000"/>
                </a:solidFill>
                <a:latin typeface="Calibri"/>
                <a:ea typeface="Calibri"/>
                <a:cs typeface="Calibri"/>
              </a:defRPr>
            </a:pPr>
            <a:endParaRPr lang="fr-FR"/>
          </a:p>
        </c:txPr>
        <c:crossAx val="212673280"/>
        <c:crosses val="autoZero"/>
        <c:auto val="1"/>
        <c:lblAlgn val="ctr"/>
        <c:lblOffset val="100"/>
        <c:tickLblSkip val="1"/>
        <c:tickMarkSkip val="1"/>
        <c:noMultiLvlLbl val="0"/>
      </c:catAx>
      <c:valAx>
        <c:axId val="212673280"/>
        <c:scaling>
          <c:orientation val="minMax"/>
        </c:scaling>
        <c:delete val="1"/>
        <c:axPos val="b"/>
        <c:numFmt formatCode="0.00%" sourceLinked="1"/>
        <c:majorTickMark val="out"/>
        <c:minorTickMark val="none"/>
        <c:tickLblPos val="nextTo"/>
        <c:crossAx val="212667392"/>
        <c:crosses val="autoZero"/>
        <c:crossBetween val="between"/>
      </c:valAx>
      <c:spPr>
        <a:noFill/>
        <a:ln w="25401">
          <a:noFill/>
        </a:ln>
      </c:spPr>
    </c:plotArea>
    <c:plotVisOnly val="1"/>
    <c:dispBlanksAs val="gap"/>
    <c:showDLblsOverMax val="0"/>
  </c:chart>
  <c:spPr>
    <a:noFill/>
    <a:ln>
      <a:noFill/>
    </a:ln>
  </c:spPr>
  <c:txPr>
    <a:bodyPr/>
    <a:lstStyle/>
    <a:p>
      <a:pPr>
        <a:defRPr sz="575" b="1" i="0" u="none" strike="noStrike" baseline="0">
          <a:solidFill>
            <a:srgbClr val="000000"/>
          </a:solidFill>
          <a:latin typeface="Calibri"/>
          <a:ea typeface="Calibri"/>
          <a:cs typeface="Calibri"/>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2479474548440066"/>
          <c:y val="0.2389937106918239"/>
          <c:w val="0.34811165845648606"/>
          <c:h val="0.52830188679245282"/>
        </c:manualLayout>
      </c:layout>
      <c:pie3DChart>
        <c:varyColors val="1"/>
        <c:ser>
          <c:idx val="0"/>
          <c:order val="0"/>
          <c:tx>
            <c:strRef>
              <c:f>Sheet1!$A$2</c:f>
              <c:strCache>
                <c:ptCount val="1"/>
                <c:pt idx="0">
                  <c:v>Nombre décidés favorables</c:v>
                </c:pt>
              </c:strCache>
            </c:strRef>
          </c:tx>
          <c:spPr>
            <a:solidFill>
              <a:srgbClr val="9999FF"/>
            </a:solidFill>
            <a:ln w="12680">
              <a:solidFill>
                <a:srgbClr val="000000"/>
              </a:solidFill>
            </a:ln>
          </c:spPr>
          <c:explosion val="23"/>
          <c:dPt>
            <c:idx val="0"/>
            <c:bubble3D val="0"/>
          </c:dPt>
          <c:dPt>
            <c:idx val="1"/>
            <c:bubble3D val="0"/>
            <c:spPr>
              <a:solidFill>
                <a:srgbClr val="993366"/>
              </a:solidFill>
              <a:ln w="12680">
                <a:solidFill>
                  <a:srgbClr val="000000"/>
                </a:solidFill>
              </a:ln>
            </c:spPr>
          </c:dPt>
          <c:dLbls>
            <c:dLbl>
              <c:idx val="0"/>
              <c:layout>
                <c:manualLayout>
                  <c:x val="3.8834951456310676E-2"/>
                  <c:y val="0"/>
                </c:manualLayout>
              </c:layout>
              <c:tx>
                <c:rich>
                  <a:bodyPr/>
                  <a:lstStyle/>
                  <a:p>
                    <a:r>
                      <a:rPr lang="en-US"/>
                      <a:t>Toekenningen</a:t>
                    </a:r>
                  </a:p>
                  <a:p>
                    <a:r>
                      <a:rPr lang="en-US"/>
                      <a:t>79%</a:t>
                    </a:r>
                  </a:p>
                </c:rich>
              </c:tx>
              <c:dLblPos val="bestFit"/>
              <c:showLegendKey val="0"/>
              <c:showVal val="0"/>
              <c:showCatName val="1"/>
              <c:showSerName val="0"/>
              <c:showPercent val="1"/>
              <c:showBubbleSize val="0"/>
            </c:dLbl>
            <c:dLbl>
              <c:idx val="1"/>
              <c:layout>
                <c:manualLayout>
                  <c:x val="-3.8834951456310676E-2"/>
                  <c:y val="-2.3668639053254437E-2"/>
                </c:manualLayout>
              </c:layout>
              <c:tx>
                <c:rich>
                  <a:bodyPr/>
                  <a:lstStyle/>
                  <a:p>
                    <a:r>
                      <a:rPr lang="en-US"/>
                      <a:t>Weigeringen</a:t>
                    </a:r>
                    <a:r>
                      <a:rPr lang="en-US" baseline="0"/>
                      <a:t> </a:t>
                    </a:r>
                    <a:r>
                      <a:rPr lang="en-US"/>
                      <a:t>21%</a:t>
                    </a:r>
                  </a:p>
                </c:rich>
              </c:tx>
              <c:dLblPos val="bestFit"/>
              <c:showLegendKey val="0"/>
              <c:showVal val="0"/>
              <c:showCatName val="1"/>
              <c:showSerName val="0"/>
              <c:showPercent val="1"/>
              <c:showBubbleSize val="0"/>
            </c:dLbl>
            <c:numFmt formatCode="0%" sourceLinked="0"/>
            <c:spPr>
              <a:noFill/>
              <a:ln w="25359">
                <a:noFill/>
              </a:ln>
            </c:spPr>
            <c:txPr>
              <a:bodyPr/>
              <a:lstStyle/>
              <a:p>
                <a:pPr>
                  <a:defRPr sz="799" b="0" i="0" u="none" strike="noStrike" baseline="0">
                    <a:solidFill>
                      <a:srgbClr val="000000"/>
                    </a:solidFill>
                    <a:latin typeface="Arial Unicode MS"/>
                    <a:ea typeface="Arial Unicode MS"/>
                    <a:cs typeface="Arial Unicode MS"/>
                  </a:defRPr>
                </a:pPr>
                <a:endParaRPr lang="fr-FR"/>
              </a:p>
            </c:txPr>
            <c:dLblPos val="outEnd"/>
            <c:showLegendKey val="0"/>
            <c:showVal val="0"/>
            <c:showCatName val="1"/>
            <c:showSerName val="0"/>
            <c:showPercent val="1"/>
            <c:showBubbleSize val="0"/>
            <c:showLeaderLines val="1"/>
          </c:dLbls>
          <c:cat>
            <c:strRef>
              <c:f>Sheet1!$B$1:$C$1</c:f>
              <c:strCache>
                <c:ptCount val="2"/>
                <c:pt idx="0">
                  <c:v>Toekenningen</c:v>
                </c:pt>
                <c:pt idx="1">
                  <c:v>Weigeringen</c:v>
                </c:pt>
              </c:strCache>
            </c:strRef>
          </c:cat>
          <c:val>
            <c:numRef>
              <c:f>Sheet1!$B$2:$C$2</c:f>
              <c:numCache>
                <c:formatCode>General</c:formatCode>
                <c:ptCount val="2"/>
                <c:pt idx="0">
                  <c:v>1780</c:v>
                </c:pt>
                <c:pt idx="1">
                  <c:v>463</c:v>
                </c:pt>
              </c:numCache>
            </c:numRef>
          </c:val>
        </c:ser>
        <c:dLbls>
          <c:showLegendKey val="0"/>
          <c:showVal val="0"/>
          <c:showCatName val="0"/>
          <c:showSerName val="0"/>
          <c:showPercent val="0"/>
          <c:showBubbleSize val="0"/>
          <c:showLeaderLines val="1"/>
        </c:dLbls>
      </c:pie3DChart>
      <c:spPr>
        <a:solidFill>
          <a:srgbClr val="FFFFFF"/>
        </a:solidFill>
        <a:ln w="12680">
          <a:solidFill>
            <a:srgbClr val="FFFFFF"/>
          </a:solidFill>
        </a:ln>
      </c:spPr>
    </c:plotArea>
    <c:plotVisOnly val="1"/>
    <c:dispBlanksAs val="gap"/>
    <c:showDLblsOverMax val="0"/>
  </c:chart>
  <c:spPr>
    <a:noFill/>
    <a:ln>
      <a:noFill/>
    </a:ln>
  </c:spPr>
  <c:txPr>
    <a:bodyPr/>
    <a:lstStyle/>
    <a:p>
      <a:pPr>
        <a:defRPr sz="799" b="1" i="0" u="none" strike="noStrike" baseline="0">
          <a:solidFill>
            <a:srgbClr val="000000"/>
          </a:solidFill>
          <a:latin typeface="Arial"/>
          <a:ea typeface="Arial"/>
          <a:cs typeface="Arial"/>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4989618834959"/>
          <c:y val="6.2444833284728295E-2"/>
          <c:w val="0.82476190476190481"/>
          <c:h val="0.86942675159235672"/>
        </c:manualLayout>
      </c:layout>
      <c:barChart>
        <c:barDir val="bar"/>
        <c:grouping val="clustered"/>
        <c:varyColors val="0"/>
        <c:ser>
          <c:idx val="1"/>
          <c:order val="0"/>
          <c:spPr>
            <a:solidFill>
              <a:srgbClr val="9999FF"/>
            </a:solidFill>
          </c:spPr>
          <c:invertIfNegative val="0"/>
          <c:cat>
            <c:strRef>
              <c:f>Sheet1!$A$1:$I$1</c:f>
              <c:strCache>
                <c:ptCount val="9"/>
                <c:pt idx="0">
                  <c:v>Anderen</c:v>
                </c:pt>
                <c:pt idx="1">
                  <c:v>Marketing</c:v>
                </c:pt>
                <c:pt idx="2">
                  <c:v>Management</c:v>
                </c:pt>
                <c:pt idx="3">
                  <c:v>Informatica</c:v>
                </c:pt>
                <c:pt idx="4">
                  <c:v>Juridische</c:v>
                </c:pt>
                <c:pt idx="5">
                  <c:v>Technische</c:v>
                </c:pt>
                <c:pt idx="6">
                  <c:v>Certificatie</c:v>
                </c:pt>
                <c:pt idx="7">
                  <c:v>Financiering</c:v>
                </c:pt>
                <c:pt idx="8">
                  <c:v>Leefmilieu</c:v>
                </c:pt>
              </c:strCache>
            </c:strRef>
          </c:cat>
          <c:val>
            <c:numRef>
              <c:f>Sheet1!$A$3:$I$3</c:f>
              <c:numCache>
                <c:formatCode>0.00%</c:formatCode>
                <c:ptCount val="9"/>
                <c:pt idx="0">
                  <c:v>3.6823935558112773E-2</c:v>
                </c:pt>
                <c:pt idx="1">
                  <c:v>0.27502876869965476</c:v>
                </c:pt>
                <c:pt idx="2">
                  <c:v>0.22554660529344073</c:v>
                </c:pt>
                <c:pt idx="3">
                  <c:v>0.2140391254315305</c:v>
                </c:pt>
                <c:pt idx="4">
                  <c:v>8.6306098964326811E-2</c:v>
                </c:pt>
                <c:pt idx="5">
                  <c:v>5.2934407364787113E-2</c:v>
                </c:pt>
                <c:pt idx="6">
                  <c:v>4.2577675489067893E-2</c:v>
                </c:pt>
                <c:pt idx="7">
                  <c:v>3.5673187571921748E-2</c:v>
                </c:pt>
                <c:pt idx="8">
                  <c:v>3.1070195627157654E-2</c:v>
                </c:pt>
              </c:numCache>
            </c:numRef>
          </c:val>
        </c:ser>
        <c:dLbls>
          <c:showLegendKey val="0"/>
          <c:showVal val="1"/>
          <c:showCatName val="0"/>
          <c:showSerName val="0"/>
          <c:showPercent val="0"/>
          <c:showBubbleSize val="0"/>
        </c:dLbls>
        <c:gapWidth val="150"/>
        <c:axId val="168153472"/>
        <c:axId val="168155008"/>
      </c:barChart>
      <c:catAx>
        <c:axId val="168153472"/>
        <c:scaling>
          <c:orientation val="minMax"/>
        </c:scaling>
        <c:delete val="0"/>
        <c:axPos val="l"/>
        <c:numFmt formatCode="General" sourceLinked="1"/>
        <c:majorTickMark val="out"/>
        <c:minorTickMark val="none"/>
        <c:tickLblPos val="nextTo"/>
        <c:spPr>
          <a:ln w="3175">
            <a:solidFill>
              <a:srgbClr val="000000"/>
            </a:solidFill>
          </a:ln>
        </c:spPr>
        <c:txPr>
          <a:bodyPr rot="0" vert="horz"/>
          <a:lstStyle/>
          <a:p>
            <a:pPr>
              <a:defRPr sz="800" b="0" i="0" u="none" strike="noStrike" baseline="0">
                <a:solidFill>
                  <a:srgbClr val="000000"/>
                </a:solidFill>
                <a:latin typeface="Calibri"/>
                <a:ea typeface="Calibri"/>
                <a:cs typeface="Calibri"/>
              </a:defRPr>
            </a:pPr>
            <a:endParaRPr lang="fr-FR"/>
          </a:p>
        </c:txPr>
        <c:crossAx val="168155008"/>
        <c:crosses val="autoZero"/>
        <c:auto val="1"/>
        <c:lblAlgn val="ctr"/>
        <c:lblOffset val="100"/>
        <c:noMultiLvlLbl val="0"/>
      </c:catAx>
      <c:valAx>
        <c:axId val="168155008"/>
        <c:scaling>
          <c:orientation val="minMax"/>
        </c:scaling>
        <c:delete val="0"/>
        <c:axPos val="b"/>
        <c:numFmt formatCode="0.00%" sourceLinked="1"/>
        <c:majorTickMark val="none"/>
        <c:minorTickMark val="none"/>
        <c:tickLblPos val="none"/>
        <c:spPr>
          <a:ln w="9525">
            <a:noFill/>
          </a:ln>
        </c:spPr>
        <c:crossAx val="168153472"/>
        <c:crosses val="autoZero"/>
        <c:crossBetween val="between"/>
      </c:valAx>
      <c:spPr>
        <a:noFill/>
        <a:ln w="25400">
          <a:noFill/>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59504132231404"/>
          <c:y val="0.10666666666666667"/>
          <c:w val="0.75702479338842976"/>
          <c:h val="0.84444444444444444"/>
        </c:manualLayout>
      </c:layout>
      <c:barChart>
        <c:barDir val="bar"/>
        <c:grouping val="clustered"/>
        <c:varyColors val="0"/>
        <c:ser>
          <c:idx val="1"/>
          <c:order val="0"/>
          <c:spPr>
            <a:solidFill>
              <a:srgbClr val="9999FF"/>
            </a:solidFill>
          </c:spPr>
          <c:invertIfNegative val="0"/>
          <c:dPt>
            <c:idx val="5"/>
            <c:invertIfNegative val="0"/>
            <c:bubble3D val="0"/>
            <c:spPr>
              <a:solidFill>
                <a:srgbClr val="9999FF"/>
              </a:solidFill>
              <a:ln>
                <a:solidFill>
                  <a:schemeClr val="accent1"/>
                </a:solidFill>
              </a:ln>
            </c:spPr>
          </c:dPt>
          <c:dLbls>
            <c:dLblPos val="outEnd"/>
            <c:showLegendKey val="0"/>
            <c:showVal val="1"/>
            <c:showCatName val="0"/>
            <c:showSerName val="0"/>
            <c:showPercent val="0"/>
            <c:showBubbleSize val="0"/>
            <c:showLeaderLines val="0"/>
          </c:dLbls>
          <c:cat>
            <c:strRef>
              <c:f>Sheet1!$A$1:$I$1</c:f>
              <c:strCache>
                <c:ptCount val="8"/>
                <c:pt idx="0">
                  <c:v>Anderen</c:v>
                </c:pt>
                <c:pt idx="1">
                  <c:v>Management</c:v>
                </c:pt>
                <c:pt idx="2">
                  <c:v>Talen</c:v>
                </c:pt>
                <c:pt idx="3">
                  <c:v>Coaching</c:v>
                </c:pt>
                <c:pt idx="4">
                  <c:v>Informatica</c:v>
                </c:pt>
                <c:pt idx="5">
                  <c:v>Technische</c:v>
                </c:pt>
                <c:pt idx="6">
                  <c:v>Marketing</c:v>
                </c:pt>
                <c:pt idx="7">
                  <c:v>Juridique</c:v>
                </c:pt>
              </c:strCache>
            </c:strRef>
          </c:cat>
          <c:val>
            <c:numRef>
              <c:f>Sheet1!$A$3:$I$3</c:f>
              <c:numCache>
                <c:formatCode>0.00%</c:formatCode>
                <c:ptCount val="8"/>
                <c:pt idx="0">
                  <c:v>3.6222509702457953E-2</c:v>
                </c:pt>
                <c:pt idx="1">
                  <c:v>0.49288486416558863</c:v>
                </c:pt>
                <c:pt idx="2">
                  <c:v>0.13324708926261319</c:v>
                </c:pt>
                <c:pt idx="3">
                  <c:v>0.1073738680465718</c:v>
                </c:pt>
                <c:pt idx="4">
                  <c:v>7.2445019404915906E-2</c:v>
                </c:pt>
                <c:pt idx="5">
                  <c:v>6.3389391979301421E-2</c:v>
                </c:pt>
                <c:pt idx="6">
                  <c:v>5.8214747736093142E-2</c:v>
                </c:pt>
                <c:pt idx="7">
                  <c:v>3.6222509702457953E-2</c:v>
                </c:pt>
              </c:numCache>
            </c:numRef>
          </c:val>
        </c:ser>
        <c:dLbls>
          <c:showLegendKey val="0"/>
          <c:showVal val="0"/>
          <c:showCatName val="0"/>
          <c:showSerName val="0"/>
          <c:showPercent val="0"/>
          <c:showBubbleSize val="0"/>
        </c:dLbls>
        <c:gapWidth val="150"/>
        <c:axId val="172828544"/>
        <c:axId val="172830080"/>
      </c:barChart>
      <c:catAx>
        <c:axId val="172828544"/>
        <c:scaling>
          <c:orientation val="minMax"/>
        </c:scaling>
        <c:delete val="0"/>
        <c:axPos val="l"/>
        <c:numFmt formatCode="General" sourceLinked="1"/>
        <c:majorTickMark val="out"/>
        <c:minorTickMark val="none"/>
        <c:tickLblPos val="nextTo"/>
        <c:spPr>
          <a:ln w="3175">
            <a:solidFill>
              <a:srgbClr val="000000"/>
            </a:solidFill>
          </a:ln>
        </c:spPr>
        <c:txPr>
          <a:bodyPr rot="0" vert="horz"/>
          <a:lstStyle/>
          <a:p>
            <a:pPr>
              <a:defRPr sz="800" b="0" i="0" u="none" strike="noStrike" baseline="0">
                <a:solidFill>
                  <a:srgbClr val="000000"/>
                </a:solidFill>
                <a:latin typeface="Calibri"/>
                <a:ea typeface="Calibri"/>
                <a:cs typeface="Calibri"/>
              </a:defRPr>
            </a:pPr>
            <a:endParaRPr lang="fr-FR"/>
          </a:p>
        </c:txPr>
        <c:crossAx val="172830080"/>
        <c:crosses val="autoZero"/>
        <c:auto val="1"/>
        <c:lblAlgn val="ctr"/>
        <c:lblOffset val="100"/>
        <c:tickLblSkip val="1"/>
        <c:tickMarkSkip val="1"/>
        <c:noMultiLvlLbl val="0"/>
      </c:catAx>
      <c:valAx>
        <c:axId val="172830080"/>
        <c:scaling>
          <c:orientation val="minMax"/>
        </c:scaling>
        <c:delete val="1"/>
        <c:axPos val="b"/>
        <c:numFmt formatCode="0.00%" sourceLinked="1"/>
        <c:majorTickMark val="out"/>
        <c:minorTickMark val="none"/>
        <c:tickLblPos val="nextTo"/>
        <c:crossAx val="172828544"/>
        <c:crosses val="autoZero"/>
        <c:crossBetween val="between"/>
      </c:valAx>
      <c:spPr>
        <a:noFill/>
        <a:ln w="25399">
          <a:noFill/>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fr-F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3998511380107337"/>
          <c:y val="0.24327757537770464"/>
          <c:w val="0.40371621621621623"/>
          <c:h val="0.49738219895287961"/>
        </c:manualLayout>
      </c:layout>
      <c:pie3DChart>
        <c:varyColors val="1"/>
        <c:ser>
          <c:idx val="0"/>
          <c:order val="0"/>
          <c:tx>
            <c:strRef>
              <c:f>Sheet1!$A$2</c:f>
              <c:strCache>
                <c:ptCount val="1"/>
                <c:pt idx="0">
                  <c:v>Dossiers à l'introduction</c:v>
                </c:pt>
              </c:strCache>
            </c:strRef>
          </c:tx>
          <c:spPr>
            <a:solidFill>
              <a:srgbClr val="9999FF"/>
            </a:solidFill>
            <a:ln w="12700">
              <a:solidFill>
                <a:srgbClr val="000000"/>
              </a:solidFill>
            </a:ln>
          </c:spPr>
          <c:explosion val="23"/>
          <c:dPt>
            <c:idx val="0"/>
            <c:bubble3D val="0"/>
          </c:dPt>
          <c:dPt>
            <c:idx val="1"/>
            <c:bubble3D val="0"/>
            <c:spPr>
              <a:solidFill>
                <a:srgbClr val="993366"/>
              </a:solidFill>
              <a:ln w="12700">
                <a:solidFill>
                  <a:srgbClr val="000000"/>
                </a:solidFill>
              </a:ln>
            </c:spPr>
          </c:dPt>
          <c:dPt>
            <c:idx val="2"/>
            <c:bubble3D val="0"/>
            <c:spPr>
              <a:solidFill>
                <a:srgbClr val="FFFFCC"/>
              </a:solidFill>
              <a:ln w="12700">
                <a:solidFill>
                  <a:srgbClr val="000000"/>
                </a:solidFill>
              </a:ln>
            </c:spPr>
          </c:dPt>
          <c:dLbls>
            <c:dLbl>
              <c:idx val="0"/>
              <c:layout>
                <c:manualLayout>
                  <c:x val="1.3266998341625208E-2"/>
                  <c:y val="5.306799336650083E-2"/>
                </c:manualLayout>
              </c:layout>
              <c:dLblPos val="bestFit"/>
              <c:showLegendKey val="0"/>
              <c:showVal val="0"/>
              <c:showCatName val="1"/>
              <c:showSerName val="0"/>
              <c:showPercent val="1"/>
              <c:showBubbleSize val="0"/>
            </c:dLbl>
            <c:dLbl>
              <c:idx val="1"/>
              <c:layout>
                <c:manualLayout>
                  <c:x val="-2.6533996683250415E-2"/>
                  <c:y val="-1.3266998341625208E-2"/>
                </c:manualLayout>
              </c:layout>
              <c:tx>
                <c:rich>
                  <a:bodyPr/>
                  <a:lstStyle/>
                  <a:p>
                    <a:r>
                      <a:rPr lang="en-US"/>
                      <a:t>klein
18%</a:t>
                    </a:r>
                  </a:p>
                </c:rich>
              </c:tx>
              <c:dLblPos val="bestFit"/>
              <c:showLegendKey val="0"/>
              <c:showVal val="0"/>
              <c:showCatName val="1"/>
              <c:showSerName val="0"/>
              <c:showPercent val="1"/>
              <c:showBubbleSize val="0"/>
            </c:dLbl>
            <c:dLbl>
              <c:idx val="2"/>
              <c:layout>
                <c:manualLayout>
                  <c:x val="1.5478164731896076E-2"/>
                  <c:y val="0"/>
                </c:manualLayout>
              </c:layout>
              <c:tx>
                <c:rich>
                  <a:bodyPr/>
                  <a:lstStyle/>
                  <a:p>
                    <a:r>
                      <a:rPr lang="en-US"/>
                      <a:t>middelgroot
6%</a:t>
                    </a:r>
                  </a:p>
                </c:rich>
              </c:tx>
              <c:dLblPos val="bestFit"/>
              <c:showLegendKey val="0"/>
              <c:showVal val="0"/>
              <c:showCatName val="1"/>
              <c:showSerName val="0"/>
              <c:showPercent val="1"/>
              <c:showBubbleSize val="0"/>
            </c:dLbl>
            <c:numFmt formatCode="0%" sourceLinked="0"/>
            <c:spPr>
              <a:noFill/>
              <a:ln w="25399">
                <a:noFill/>
              </a:ln>
            </c:spPr>
            <c:txPr>
              <a:bodyPr/>
              <a:lstStyle/>
              <a:p>
                <a:pPr>
                  <a:defRPr sz="800" b="0" i="0" u="none" strike="noStrike" baseline="0">
                    <a:solidFill>
                      <a:srgbClr val="000000"/>
                    </a:solidFill>
                    <a:latin typeface="Arial Unicode MS"/>
                    <a:ea typeface="Arial Unicode MS"/>
                    <a:cs typeface="Arial Unicode MS"/>
                  </a:defRPr>
                </a:pPr>
                <a:endParaRPr lang="fr-FR"/>
              </a:p>
            </c:txPr>
            <c:dLblPos val="outEnd"/>
            <c:showLegendKey val="0"/>
            <c:showVal val="0"/>
            <c:showCatName val="1"/>
            <c:showSerName val="0"/>
            <c:showPercent val="1"/>
            <c:showBubbleSize val="0"/>
            <c:showLeaderLines val="1"/>
          </c:dLbls>
          <c:cat>
            <c:strRef>
              <c:f>Sheet1!$B$1:$D$1</c:f>
              <c:strCache>
                <c:ptCount val="3"/>
                <c:pt idx="0">
                  <c:v>micro</c:v>
                </c:pt>
                <c:pt idx="1">
                  <c:v>petite</c:v>
                </c:pt>
                <c:pt idx="2">
                  <c:v>moyenne</c:v>
                </c:pt>
              </c:strCache>
            </c:strRef>
          </c:cat>
          <c:val>
            <c:numRef>
              <c:f>Sheet1!$B$2:$D$2</c:f>
              <c:numCache>
                <c:formatCode>General</c:formatCode>
                <c:ptCount val="3"/>
                <c:pt idx="0">
                  <c:v>1255</c:v>
                </c:pt>
                <c:pt idx="1">
                  <c:v>292</c:v>
                </c:pt>
                <c:pt idx="2">
                  <c:v>109</c:v>
                </c:pt>
              </c:numCache>
            </c:numRef>
          </c:val>
        </c:ser>
        <c:dLbls>
          <c:showLegendKey val="0"/>
          <c:showVal val="0"/>
          <c:showCatName val="0"/>
          <c:showSerName val="0"/>
          <c:showPercent val="0"/>
          <c:showBubbleSize val="0"/>
          <c:showLeaderLines val="1"/>
        </c:dLbls>
      </c:pie3DChart>
      <c:spPr>
        <a:solidFill>
          <a:srgbClr val="FFFFFF"/>
        </a:solidFill>
        <a:ln w="12700">
          <a:solidFill>
            <a:srgbClr val="FFFFFF"/>
          </a:solidFill>
        </a:ln>
      </c:spPr>
    </c:plotArea>
    <c:plotVisOnly val="1"/>
    <c:dispBlanksAs val="gap"/>
    <c:showDLblsOverMax val="0"/>
  </c:chart>
  <c:spPr>
    <a:noFill/>
    <a:ln>
      <a:noFill/>
    </a:ln>
  </c:spPr>
  <c:txPr>
    <a:bodyPr/>
    <a:lstStyle/>
    <a:p>
      <a:pPr>
        <a:defRPr sz="850" b="1" i="0" u="none" strike="noStrike" baseline="0">
          <a:solidFill>
            <a:srgbClr val="000000"/>
          </a:solidFill>
          <a:latin typeface="Arial"/>
          <a:ea typeface="Arial"/>
          <a:cs typeface="Arial"/>
        </a:defRPr>
      </a:pPr>
      <a:endParaRPr lang="fr-F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142625607779577"/>
          <c:y val="0.17721518987341772"/>
          <c:w val="0.50243111831442466"/>
          <c:h val="0.65189873417721522"/>
        </c:manualLayout>
      </c:layout>
      <c:barChart>
        <c:barDir val="bar"/>
        <c:grouping val="clustered"/>
        <c:varyColors val="0"/>
        <c:ser>
          <c:idx val="1"/>
          <c:order val="0"/>
          <c:spPr>
            <a:solidFill>
              <a:srgbClr val="9999FF"/>
            </a:solidFill>
          </c:spPr>
          <c:invertIfNegative val="0"/>
          <c:dLbls>
            <c:dLblPos val="outEnd"/>
            <c:showLegendKey val="0"/>
            <c:showVal val="1"/>
            <c:showCatName val="0"/>
            <c:showSerName val="0"/>
            <c:showPercent val="0"/>
            <c:showBubbleSize val="0"/>
            <c:showLeaderLines val="0"/>
          </c:dLbls>
          <c:cat>
            <c:strRef>
              <c:f>Sheet1!$A$1:$I$1</c:f>
              <c:strCache>
                <c:ptCount val="9"/>
                <c:pt idx="0">
                  <c:v>Anderen</c:v>
                </c:pt>
                <c:pt idx="1">
                  <c:v>Gespecialiseerte activiteiten</c:v>
                </c:pt>
                <c:pt idx="2">
                  <c:v>Informatie en communicatie</c:v>
                </c:pt>
                <c:pt idx="3">
                  <c:v>Handel</c:v>
                </c:pt>
                <c:pt idx="4">
                  <c:v>Industrie</c:v>
                </c:pt>
                <c:pt idx="5">
                  <c:v>Administratieve diensten</c:v>
                </c:pt>
                <c:pt idx="6">
                  <c:v>HORECA</c:v>
                </c:pt>
                <c:pt idx="7">
                  <c:v>Bouw</c:v>
                </c:pt>
                <c:pt idx="8">
                  <c:v>Vastgoedactiviteiten</c:v>
                </c:pt>
              </c:strCache>
            </c:strRef>
          </c:cat>
          <c:val>
            <c:numRef>
              <c:f>Sheet1!$A$3:$I$3</c:f>
              <c:numCache>
                <c:formatCode>0.00%</c:formatCode>
                <c:ptCount val="9"/>
                <c:pt idx="0">
                  <c:v>9.469106177170114E-2</c:v>
                </c:pt>
                <c:pt idx="1">
                  <c:v>0.22973874915294773</c:v>
                </c:pt>
                <c:pt idx="2">
                  <c:v>0.22459175402931134</c:v>
                </c:pt>
                <c:pt idx="3">
                  <c:v>0.17399843212287905</c:v>
                </c:pt>
                <c:pt idx="4">
                  <c:v>8.0287426422715621E-2</c:v>
                </c:pt>
                <c:pt idx="5">
                  <c:v>7.162753617411409E-2</c:v>
                </c:pt>
                <c:pt idx="6">
                  <c:v>4.6347085475877278E-2</c:v>
                </c:pt>
                <c:pt idx="7">
                  <c:v>4.5566229521265995E-2</c:v>
                </c:pt>
                <c:pt idx="8">
                  <c:v>3.315172532918776E-2</c:v>
                </c:pt>
              </c:numCache>
            </c:numRef>
          </c:val>
        </c:ser>
        <c:dLbls>
          <c:showLegendKey val="0"/>
          <c:showVal val="0"/>
          <c:showCatName val="0"/>
          <c:showSerName val="0"/>
          <c:showPercent val="0"/>
          <c:showBubbleSize val="0"/>
        </c:dLbls>
        <c:gapWidth val="150"/>
        <c:axId val="173082496"/>
        <c:axId val="173084032"/>
      </c:barChart>
      <c:catAx>
        <c:axId val="173082496"/>
        <c:scaling>
          <c:orientation val="minMax"/>
        </c:scaling>
        <c:delete val="0"/>
        <c:axPos val="l"/>
        <c:numFmt formatCode="General" sourceLinked="1"/>
        <c:majorTickMark val="out"/>
        <c:minorTickMark val="none"/>
        <c:tickLblPos val="nextTo"/>
        <c:spPr>
          <a:ln w="3165">
            <a:solidFill>
              <a:srgbClr val="000000"/>
            </a:solidFill>
          </a:ln>
        </c:spPr>
        <c:txPr>
          <a:bodyPr rot="0" vert="horz"/>
          <a:lstStyle/>
          <a:p>
            <a:pPr>
              <a:defRPr sz="798" b="0" i="0" u="none" strike="noStrike" baseline="0">
                <a:solidFill>
                  <a:srgbClr val="000000"/>
                </a:solidFill>
                <a:latin typeface="Calibri"/>
                <a:ea typeface="Calibri"/>
                <a:cs typeface="Calibri"/>
              </a:defRPr>
            </a:pPr>
            <a:endParaRPr lang="fr-FR"/>
          </a:p>
        </c:txPr>
        <c:crossAx val="173084032"/>
        <c:crosses val="autoZero"/>
        <c:auto val="1"/>
        <c:lblAlgn val="ctr"/>
        <c:lblOffset val="100"/>
        <c:tickLblSkip val="1"/>
        <c:tickMarkSkip val="1"/>
        <c:noMultiLvlLbl val="0"/>
      </c:catAx>
      <c:valAx>
        <c:axId val="173084032"/>
        <c:scaling>
          <c:orientation val="minMax"/>
        </c:scaling>
        <c:delete val="1"/>
        <c:axPos val="b"/>
        <c:numFmt formatCode="0.00%" sourceLinked="1"/>
        <c:majorTickMark val="out"/>
        <c:minorTickMark val="none"/>
        <c:tickLblPos val="nextTo"/>
        <c:crossAx val="173082496"/>
        <c:crosses val="autoZero"/>
        <c:crossBetween val="between"/>
      </c:valAx>
      <c:spPr>
        <a:noFill/>
        <a:ln w="25321">
          <a:noFill/>
        </a:ln>
      </c:spPr>
    </c:plotArea>
    <c:plotVisOnly val="1"/>
    <c:dispBlanksAs val="gap"/>
    <c:showDLblsOverMax val="0"/>
  </c:chart>
  <c:spPr>
    <a:noFill/>
    <a:ln>
      <a:noFill/>
    </a:ln>
  </c:spPr>
  <c:txPr>
    <a:bodyPr/>
    <a:lstStyle/>
    <a:p>
      <a:pPr>
        <a:defRPr sz="798" b="1" i="0" u="none" strike="noStrike" baseline="0">
          <a:solidFill>
            <a:srgbClr val="000000"/>
          </a:solidFill>
          <a:latin typeface="Calibri"/>
          <a:ea typeface="Calibri"/>
          <a:cs typeface="Calibri"/>
        </a:defRPr>
      </a:pPr>
      <a:endParaRPr lang="fr-F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8240098913255673"/>
          <c:y val="0.23917082506751028"/>
          <c:w val="0.25363276089828268"/>
          <c:h val="0.53521126760563376"/>
        </c:manualLayout>
      </c:layout>
      <c:pie3DChart>
        <c:varyColors val="1"/>
        <c:ser>
          <c:idx val="0"/>
          <c:order val="0"/>
          <c:tx>
            <c:strRef>
              <c:f>Sheet1!$A$2</c:f>
              <c:strCache>
                <c:ptCount val="1"/>
                <c:pt idx="0">
                  <c:v>Dossiers à l'introduction</c:v>
                </c:pt>
              </c:strCache>
            </c:strRef>
          </c:tx>
          <c:spPr>
            <a:solidFill>
              <a:srgbClr val="9999FF"/>
            </a:solidFill>
            <a:ln w="12667">
              <a:solidFill>
                <a:srgbClr val="000000"/>
              </a:solidFill>
            </a:ln>
          </c:spPr>
          <c:explosion val="23"/>
          <c:dPt>
            <c:idx val="0"/>
            <c:bubble3D val="0"/>
          </c:dPt>
          <c:dPt>
            <c:idx val="1"/>
            <c:bubble3D val="0"/>
            <c:spPr>
              <a:solidFill>
                <a:srgbClr val="993366"/>
              </a:solidFill>
              <a:ln w="12667">
                <a:solidFill>
                  <a:srgbClr val="000000"/>
                </a:solidFill>
              </a:ln>
            </c:spPr>
          </c:dPt>
          <c:dLbls>
            <c:dLbl>
              <c:idx val="0"/>
              <c:layout>
                <c:manualLayout>
                  <c:x val="3.3057851239669422E-2"/>
                  <c:y val="0"/>
                </c:manualLayout>
              </c:layout>
              <c:tx>
                <c:rich>
                  <a:bodyPr/>
                  <a:lstStyle/>
                  <a:p>
                    <a:r>
                      <a:rPr lang="en-US"/>
                      <a:t>Weigeringen
67%</a:t>
                    </a:r>
                  </a:p>
                </c:rich>
              </c:tx>
              <c:dLblPos val="bestFit"/>
              <c:showLegendKey val="0"/>
              <c:showVal val="0"/>
              <c:showCatName val="1"/>
              <c:showSerName val="0"/>
              <c:showPercent val="1"/>
              <c:showBubbleSize val="0"/>
            </c:dLbl>
            <c:dLbl>
              <c:idx val="1"/>
              <c:layout>
                <c:manualLayout>
                  <c:x val="-3.5260349615389756E-2"/>
                  <c:y val="1.1059673469672111E-2"/>
                </c:manualLayout>
              </c:layout>
              <c:tx>
                <c:rich>
                  <a:bodyPr/>
                  <a:lstStyle/>
                  <a:p>
                    <a:r>
                      <a:rPr lang="en-US"/>
                      <a:t>Toekenningen
33%</a:t>
                    </a:r>
                  </a:p>
                </c:rich>
              </c:tx>
              <c:dLblPos val="bestFit"/>
              <c:showLegendKey val="0"/>
              <c:showVal val="0"/>
              <c:showCatName val="1"/>
              <c:showSerName val="0"/>
              <c:showPercent val="1"/>
              <c:showBubbleSize val="0"/>
            </c:dLbl>
            <c:numFmt formatCode="0%" sourceLinked="0"/>
            <c:spPr>
              <a:noFill/>
              <a:ln w="25334">
                <a:noFill/>
              </a:ln>
            </c:spPr>
            <c:txPr>
              <a:bodyPr/>
              <a:lstStyle/>
              <a:p>
                <a:pPr algn="r">
                  <a:defRPr sz="873" b="0" i="0" u="none" strike="noStrike" baseline="0">
                    <a:solidFill>
                      <a:srgbClr val="000000"/>
                    </a:solidFill>
                    <a:latin typeface="Arial Unicode MS"/>
                    <a:ea typeface="Arial Unicode MS"/>
                    <a:cs typeface="Arial Unicode MS"/>
                  </a:defRPr>
                </a:pPr>
                <a:endParaRPr lang="fr-FR"/>
              </a:p>
            </c:txPr>
            <c:dLblPos val="outEnd"/>
            <c:showLegendKey val="0"/>
            <c:showVal val="0"/>
            <c:showCatName val="1"/>
            <c:showSerName val="0"/>
            <c:showPercent val="1"/>
            <c:showBubbleSize val="0"/>
            <c:showLeaderLines val="1"/>
          </c:dLbls>
          <c:cat>
            <c:strRef>
              <c:f>Sheet1!$B$1:$C$1</c:f>
              <c:strCache>
                <c:ptCount val="2"/>
                <c:pt idx="0">
                  <c:v>décidés favorables</c:v>
                </c:pt>
                <c:pt idx="1">
                  <c:v>décidés défavorables</c:v>
                </c:pt>
              </c:strCache>
            </c:strRef>
          </c:cat>
          <c:val>
            <c:numRef>
              <c:f>Sheet1!$B$2:$C$2</c:f>
              <c:numCache>
                <c:formatCode>General</c:formatCode>
                <c:ptCount val="2"/>
                <c:pt idx="0">
                  <c:v>403</c:v>
                </c:pt>
                <c:pt idx="1">
                  <c:v>199</c:v>
                </c:pt>
              </c:numCache>
            </c:numRef>
          </c:val>
        </c:ser>
        <c:dLbls>
          <c:showLegendKey val="0"/>
          <c:showVal val="0"/>
          <c:showCatName val="0"/>
          <c:showSerName val="0"/>
          <c:showPercent val="0"/>
          <c:showBubbleSize val="0"/>
          <c:showLeaderLines val="1"/>
        </c:dLbls>
      </c:pie3DChart>
      <c:spPr>
        <a:solidFill>
          <a:srgbClr val="FFFFFF"/>
        </a:solidFill>
        <a:ln w="12667">
          <a:solidFill>
            <a:srgbClr val="FFFFFF"/>
          </a:solidFill>
        </a:ln>
      </c:spPr>
    </c:plotArea>
    <c:plotVisOnly val="1"/>
    <c:dispBlanksAs val="gap"/>
    <c:showDLblsOverMax val="0"/>
  </c:chart>
  <c:spPr>
    <a:noFill/>
    <a:ln>
      <a:noFill/>
    </a:ln>
  </c:spPr>
  <c:txPr>
    <a:bodyPr/>
    <a:lstStyle/>
    <a:p>
      <a:pPr>
        <a:defRPr sz="798" b="1" i="0" u="none" strike="noStrike" baseline="0">
          <a:solidFill>
            <a:srgbClr val="000000"/>
          </a:solidFill>
          <a:latin typeface="Arial"/>
          <a:ea typeface="Arial"/>
          <a:cs typeface="Arial"/>
        </a:defRPr>
      </a:pPr>
      <a:endParaRPr lang="fr-F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30255475783277913"/>
          <c:y val="0.24344083262504609"/>
          <c:w val="0.35276073619631904"/>
          <c:h val="0.53529411764705881"/>
        </c:manualLayout>
      </c:layout>
      <c:pie3DChart>
        <c:varyColors val="1"/>
        <c:ser>
          <c:idx val="0"/>
          <c:order val="0"/>
          <c:tx>
            <c:strRef>
              <c:f>Sheet1!$A$2</c:f>
              <c:strCache>
                <c:ptCount val="1"/>
                <c:pt idx="0">
                  <c:v>Dossiers à l'introduction</c:v>
                </c:pt>
              </c:strCache>
            </c:strRef>
          </c:tx>
          <c:spPr>
            <a:solidFill>
              <a:srgbClr val="9999FF"/>
            </a:solidFill>
            <a:ln w="12667">
              <a:solidFill>
                <a:srgbClr val="000000"/>
              </a:solidFill>
            </a:ln>
          </c:spPr>
          <c:explosion val="23"/>
          <c:dPt>
            <c:idx val="0"/>
            <c:bubble3D val="0"/>
          </c:dPt>
          <c:dPt>
            <c:idx val="1"/>
            <c:bubble3D val="0"/>
            <c:spPr>
              <a:solidFill>
                <a:srgbClr val="993366"/>
              </a:solidFill>
              <a:ln w="12667">
                <a:solidFill>
                  <a:srgbClr val="000000"/>
                </a:solidFill>
              </a:ln>
            </c:spPr>
          </c:dPt>
          <c:dLbls>
            <c:dLbl>
              <c:idx val="0"/>
              <c:layout>
                <c:manualLayout>
                  <c:x val="6.6115702479338841E-3"/>
                  <c:y val="0"/>
                </c:manualLayout>
              </c:layout>
              <c:tx>
                <c:rich>
                  <a:bodyPr/>
                  <a:lstStyle/>
                  <a:p>
                    <a:r>
                      <a:rPr lang="en-US"/>
                      <a:t>in de zone
29%</a:t>
                    </a:r>
                  </a:p>
                </c:rich>
              </c:tx>
              <c:dLblPos val="bestFit"/>
              <c:showLegendKey val="0"/>
              <c:showVal val="0"/>
              <c:showCatName val="1"/>
              <c:showSerName val="0"/>
              <c:showPercent val="1"/>
              <c:showBubbleSize val="0"/>
            </c:dLbl>
            <c:dLbl>
              <c:idx val="1"/>
              <c:layout>
                <c:manualLayout>
                  <c:x val="-4.4077134986225897E-2"/>
                  <c:y val="-7.4524884339629224E-17"/>
                </c:manualLayout>
              </c:layout>
              <c:tx>
                <c:rich>
                  <a:bodyPr/>
                  <a:lstStyle/>
                  <a:p>
                    <a:r>
                      <a:rPr lang="en-US"/>
                      <a:t>buiten de zone
71%</a:t>
                    </a:r>
                  </a:p>
                </c:rich>
              </c:tx>
              <c:dLblPos val="bestFit"/>
              <c:showLegendKey val="0"/>
              <c:showVal val="0"/>
              <c:showCatName val="1"/>
              <c:showSerName val="0"/>
              <c:showPercent val="1"/>
              <c:showBubbleSize val="0"/>
            </c:dLbl>
            <c:numFmt formatCode="0%" sourceLinked="0"/>
            <c:spPr>
              <a:noFill/>
              <a:ln w="25334">
                <a:noFill/>
              </a:ln>
            </c:spPr>
            <c:txPr>
              <a:bodyPr/>
              <a:lstStyle/>
              <a:p>
                <a:pPr>
                  <a:defRPr sz="848" b="0" i="0" u="none" strike="noStrike" baseline="0">
                    <a:solidFill>
                      <a:srgbClr val="000000"/>
                    </a:solidFill>
                    <a:latin typeface="Arial Unicode MS"/>
                    <a:ea typeface="Arial Unicode MS"/>
                    <a:cs typeface="Arial Unicode MS"/>
                  </a:defRPr>
                </a:pPr>
                <a:endParaRPr lang="fr-FR"/>
              </a:p>
            </c:txPr>
            <c:dLblPos val="outEnd"/>
            <c:showLegendKey val="0"/>
            <c:showVal val="0"/>
            <c:showCatName val="1"/>
            <c:showSerName val="0"/>
            <c:showPercent val="1"/>
            <c:showBubbleSize val="0"/>
            <c:showLeaderLines val="1"/>
          </c:dLbls>
          <c:cat>
            <c:strRef>
              <c:f>Sheet1!$B$1:$C$1</c:f>
              <c:strCache>
                <c:ptCount val="2"/>
                <c:pt idx="0">
                  <c:v>Zone de développement</c:v>
                </c:pt>
                <c:pt idx="1">
                  <c:v>Hors zone</c:v>
                </c:pt>
              </c:strCache>
            </c:strRef>
          </c:cat>
          <c:val>
            <c:numRef>
              <c:f>Sheet1!$B$2:$C$2</c:f>
              <c:numCache>
                <c:formatCode>General</c:formatCode>
                <c:ptCount val="2"/>
                <c:pt idx="0">
                  <c:v>116</c:v>
                </c:pt>
                <c:pt idx="1">
                  <c:v>285</c:v>
                </c:pt>
              </c:numCache>
            </c:numRef>
          </c:val>
        </c:ser>
        <c:dLbls>
          <c:showLegendKey val="0"/>
          <c:showVal val="0"/>
          <c:showCatName val="0"/>
          <c:showSerName val="0"/>
          <c:showPercent val="0"/>
          <c:showBubbleSize val="0"/>
          <c:showLeaderLines val="1"/>
        </c:dLbls>
      </c:pie3DChart>
      <c:spPr>
        <a:solidFill>
          <a:srgbClr val="FFFFFF"/>
        </a:solidFill>
        <a:ln w="12667">
          <a:solidFill>
            <a:srgbClr val="FFFFFF"/>
          </a:solidFill>
        </a:ln>
      </c:spPr>
    </c:plotArea>
    <c:plotVisOnly val="1"/>
    <c:dispBlanksAs val="gap"/>
    <c:showDLblsOverMax val="0"/>
  </c:chart>
  <c:spPr>
    <a:noFill/>
    <a:ln>
      <a:noFill/>
    </a:ln>
  </c:spPr>
  <c:txPr>
    <a:bodyPr/>
    <a:lstStyle/>
    <a:p>
      <a:pPr>
        <a:defRPr sz="798" b="1" i="0" u="none" strike="noStrike" baseline="0">
          <a:solidFill>
            <a:srgbClr val="000000"/>
          </a:solidFill>
          <a:latin typeface="Arial"/>
          <a:ea typeface="Arial"/>
          <a:cs typeface="Arial"/>
        </a:defRPr>
      </a:pPr>
      <a:endParaRPr lang="fr-F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7607531969198446"/>
          <c:y val="0.23809512447307724"/>
          <c:w val="0.27864214992927866"/>
          <c:h val="0.53061224489795922"/>
        </c:manualLayout>
      </c:layout>
      <c:pie3DChart>
        <c:varyColors val="1"/>
        <c:ser>
          <c:idx val="0"/>
          <c:order val="0"/>
          <c:tx>
            <c:strRef>
              <c:f>Sheet1!$A$2</c:f>
              <c:strCache>
                <c:ptCount val="1"/>
                <c:pt idx="0">
                  <c:v>Dossiers à l'introduction</c:v>
                </c:pt>
              </c:strCache>
            </c:strRef>
          </c:tx>
          <c:spPr>
            <a:solidFill>
              <a:srgbClr val="9999FF"/>
            </a:solidFill>
            <a:ln w="12699">
              <a:solidFill>
                <a:srgbClr val="000000"/>
              </a:solidFill>
            </a:ln>
          </c:spPr>
          <c:explosion val="23"/>
          <c:dPt>
            <c:idx val="0"/>
            <c:bubble3D val="0"/>
          </c:dPt>
          <c:dPt>
            <c:idx val="1"/>
            <c:bubble3D val="0"/>
            <c:spPr>
              <a:solidFill>
                <a:srgbClr val="993366"/>
              </a:solidFill>
              <a:ln w="12699">
                <a:solidFill>
                  <a:srgbClr val="000000"/>
                </a:solidFill>
              </a:ln>
            </c:spPr>
          </c:dPt>
          <c:dLbls>
            <c:dLbl>
              <c:idx val="1"/>
              <c:tx>
                <c:rich>
                  <a:bodyPr/>
                  <a:lstStyle/>
                  <a:p>
                    <a:r>
                      <a:rPr lang="fr-BE"/>
                      <a:t>Niet-starter
47%</a:t>
                    </a:r>
                  </a:p>
                </c:rich>
              </c:tx>
              <c:dLblPos val="outEnd"/>
              <c:showLegendKey val="0"/>
              <c:showVal val="0"/>
              <c:showCatName val="1"/>
              <c:showSerName val="0"/>
              <c:showPercent val="1"/>
              <c:showBubbleSize val="0"/>
            </c:dLbl>
            <c:numFmt formatCode="0%" sourceLinked="0"/>
            <c:spPr>
              <a:noFill/>
              <a:ln w="25398">
                <a:noFill/>
              </a:ln>
            </c:spPr>
            <c:txPr>
              <a:bodyPr/>
              <a:lstStyle/>
              <a:p>
                <a:pPr>
                  <a:defRPr sz="900" b="0" i="0" u="none" strike="noStrike" baseline="0">
                    <a:solidFill>
                      <a:srgbClr val="000000"/>
                    </a:solidFill>
                    <a:latin typeface="Arial Unicode MS"/>
                    <a:ea typeface="Arial Unicode MS"/>
                    <a:cs typeface="Arial Unicode MS"/>
                  </a:defRPr>
                </a:pPr>
                <a:endParaRPr lang="fr-FR"/>
              </a:p>
            </c:txPr>
            <c:dLblPos val="outEnd"/>
            <c:showLegendKey val="0"/>
            <c:showVal val="0"/>
            <c:showCatName val="1"/>
            <c:showSerName val="0"/>
            <c:showPercent val="1"/>
            <c:showBubbleSize val="0"/>
            <c:showLeaderLines val="1"/>
          </c:dLbls>
          <c:cat>
            <c:strRef>
              <c:f>Sheet1!$B$1:$C$1</c:f>
              <c:strCache>
                <c:ptCount val="2"/>
                <c:pt idx="0">
                  <c:v>Starter</c:v>
                </c:pt>
                <c:pt idx="1">
                  <c:v>Non starter</c:v>
                </c:pt>
              </c:strCache>
            </c:strRef>
          </c:cat>
          <c:val>
            <c:numRef>
              <c:f>Sheet1!$B$2:$C$2</c:f>
              <c:numCache>
                <c:formatCode>General</c:formatCode>
                <c:ptCount val="2"/>
                <c:pt idx="0">
                  <c:v>211</c:v>
                </c:pt>
                <c:pt idx="1">
                  <c:v>190</c:v>
                </c:pt>
              </c:numCache>
            </c:numRef>
          </c:val>
        </c:ser>
        <c:dLbls>
          <c:showLegendKey val="0"/>
          <c:showVal val="0"/>
          <c:showCatName val="0"/>
          <c:showSerName val="0"/>
          <c:showPercent val="0"/>
          <c:showBubbleSize val="0"/>
          <c:showLeaderLines val="1"/>
        </c:dLbls>
      </c:pie3DChart>
      <c:spPr>
        <a:solidFill>
          <a:srgbClr val="FFFFFF"/>
        </a:solidFill>
        <a:ln w="12699">
          <a:solidFill>
            <a:srgbClr val="FFFFFF"/>
          </a:solidFill>
        </a:ln>
      </c:spPr>
    </c:plotArea>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B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29</Pages>
  <Words>4448</Words>
  <Characters>24466</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Titel van uw document</vt:lpstr>
    </vt:vector>
  </TitlesOfParts>
  <Company>M laura.roose icrosoft</Company>
  <LinksUpToDate>false</LinksUpToDate>
  <CharactersWithSpaces>28857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Activiteitentverslag van de directie Steun aan Ondernemingen – Gegevens betreffende 2017</dc:title>
  <dc:creator>laura.roose</dc:creator>
  <cp:lastModifiedBy>Candice RIVIERE</cp:lastModifiedBy>
  <cp:revision>6</cp:revision>
  <cp:lastPrinted>2014-12-30T09:47:00Z</cp:lastPrinted>
  <dcterms:created xsi:type="dcterms:W3CDTF">2018-07-27T14:21:00Z</dcterms:created>
  <dcterms:modified xsi:type="dcterms:W3CDTF">2018-07-27T14:54:00Z</dcterms:modified>
</cp:coreProperties>
</file>